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DE" w:rsidRDefault="005D5DBB" w:rsidP="009A6FDE">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9A6FDE">
        <w:rPr>
          <w:rFonts w:ascii="Times New Roman" w:eastAsia="Times New Roman" w:hAnsi="Times New Roman" w:cs="Times New Roman"/>
          <w:b/>
          <w:bCs/>
          <w:kern w:val="36"/>
          <w:sz w:val="28"/>
          <w:szCs w:val="28"/>
          <w:lang w:eastAsia="ru-RU"/>
        </w:rPr>
        <w:t xml:space="preserve">Постановление Правительства Российской Федерации </w:t>
      </w:r>
    </w:p>
    <w:p w:rsidR="005D5DBB" w:rsidRPr="009A6FDE" w:rsidRDefault="005D5DBB" w:rsidP="009A6FDE">
      <w:pPr>
        <w:spacing w:after="0" w:line="240" w:lineRule="auto"/>
        <w:jc w:val="center"/>
        <w:outlineLvl w:val="0"/>
        <w:rPr>
          <w:rFonts w:ascii="Times New Roman" w:eastAsia="Times New Roman" w:hAnsi="Times New Roman" w:cs="Times New Roman"/>
          <w:b/>
          <w:bCs/>
          <w:kern w:val="36"/>
          <w:sz w:val="28"/>
          <w:szCs w:val="28"/>
          <w:lang w:eastAsia="ru-RU"/>
        </w:rPr>
      </w:pPr>
      <w:r w:rsidRPr="009A6FDE">
        <w:rPr>
          <w:rFonts w:ascii="Times New Roman" w:eastAsia="Times New Roman" w:hAnsi="Times New Roman" w:cs="Times New Roman"/>
          <w:b/>
          <w:bCs/>
          <w:kern w:val="36"/>
          <w:sz w:val="28"/>
          <w:szCs w:val="28"/>
          <w:lang w:eastAsia="ru-RU"/>
        </w:rPr>
        <w:t>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w:t>
      </w:r>
      <w:r w:rsidR="00911A0C">
        <w:rPr>
          <w:rFonts w:ascii="Times New Roman" w:eastAsia="Times New Roman" w:hAnsi="Times New Roman" w:cs="Times New Roman"/>
          <w:b/>
          <w:bCs/>
          <w:kern w:val="36"/>
          <w:sz w:val="28"/>
          <w:szCs w:val="28"/>
          <w:lang w:eastAsia="ru-RU"/>
        </w:rPr>
        <w:t>в, вырученных от его реализации».</w:t>
      </w:r>
    </w:p>
    <w:p w:rsidR="005D5DBB" w:rsidRDefault="005D5DBB" w:rsidP="009A6FDE">
      <w:pPr>
        <w:spacing w:after="0" w:line="240" w:lineRule="auto"/>
        <w:jc w:val="center"/>
        <w:outlineLvl w:val="2"/>
        <w:rPr>
          <w:rFonts w:ascii="Times New Roman" w:eastAsia="Times New Roman" w:hAnsi="Times New Roman" w:cs="Times New Roman"/>
          <w:b/>
          <w:bCs/>
          <w:sz w:val="28"/>
          <w:szCs w:val="28"/>
          <w:lang w:eastAsia="ru-RU"/>
        </w:rPr>
      </w:pPr>
      <w:r w:rsidRPr="009A6FDE">
        <w:rPr>
          <w:rFonts w:ascii="Times New Roman" w:eastAsia="Times New Roman" w:hAnsi="Times New Roman" w:cs="Times New Roman"/>
          <w:b/>
          <w:bCs/>
          <w:sz w:val="28"/>
          <w:szCs w:val="28"/>
          <w:lang w:eastAsia="ru-RU"/>
        </w:rPr>
        <w:t xml:space="preserve">Постановление о порядке сообщения </w:t>
      </w:r>
      <w:proofErr w:type="gramStart"/>
      <w:r w:rsidRPr="009A6FDE">
        <w:rPr>
          <w:rFonts w:ascii="Times New Roman" w:eastAsia="Times New Roman" w:hAnsi="Times New Roman" w:cs="Times New Roman"/>
          <w:b/>
          <w:bCs/>
          <w:sz w:val="28"/>
          <w:szCs w:val="28"/>
          <w:lang w:eastAsia="ru-RU"/>
        </w:rPr>
        <w:t>чиновниками</w:t>
      </w:r>
      <w:proofErr w:type="gramEnd"/>
      <w:r w:rsidRPr="009A6FDE">
        <w:rPr>
          <w:rFonts w:ascii="Times New Roman" w:eastAsia="Times New Roman" w:hAnsi="Times New Roman" w:cs="Times New Roman"/>
          <w:b/>
          <w:bCs/>
          <w:sz w:val="28"/>
          <w:szCs w:val="28"/>
          <w:lang w:eastAsia="ru-RU"/>
        </w:rPr>
        <w:t xml:space="preserve"> о получении подарка в связи с их должностным положением</w:t>
      </w:r>
    </w:p>
    <w:bookmarkEnd w:id="0"/>
    <w:p w:rsidR="009A6FDE" w:rsidRPr="009A6FDE" w:rsidRDefault="009A6FDE" w:rsidP="009A6FDE">
      <w:pPr>
        <w:spacing w:after="0" w:line="240" w:lineRule="auto"/>
        <w:jc w:val="center"/>
        <w:outlineLvl w:val="2"/>
        <w:rPr>
          <w:rFonts w:ascii="Times New Roman" w:eastAsia="Times New Roman" w:hAnsi="Times New Roman" w:cs="Times New Roman"/>
          <w:b/>
          <w:bCs/>
          <w:sz w:val="28"/>
          <w:szCs w:val="28"/>
          <w:lang w:eastAsia="ru-RU"/>
        </w:rPr>
      </w:pP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D5DBB" w:rsidRPr="009A6FDE" w:rsidRDefault="005D5DBB" w:rsidP="009A6FDE">
      <w:pPr>
        <w:spacing w:after="0" w:line="360" w:lineRule="auto"/>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Дата подписания: 09.01.2014</w:t>
      </w:r>
    </w:p>
    <w:p w:rsidR="005D5DBB" w:rsidRPr="009A6FDE" w:rsidRDefault="005D5DBB" w:rsidP="009A6FDE">
      <w:pPr>
        <w:spacing w:after="0" w:line="360" w:lineRule="auto"/>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Дата публикации: 10.01.2014 00:00</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w:t>
      </w:r>
      <w:r w:rsidRPr="009A6FDE">
        <w:rPr>
          <w:rFonts w:ascii="Times New Roman" w:eastAsiaTheme="minorEastAsia" w:hAnsi="Times New Roman" w:cs="Times New Roman"/>
          <w:b/>
          <w:bCs/>
          <w:sz w:val="28"/>
          <w:szCs w:val="28"/>
          <w:lang w:eastAsia="ru-RU"/>
        </w:rPr>
        <w:t>постановляет:</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подарков.3. </w:t>
      </w:r>
      <w:proofErr w:type="gramStart"/>
      <w:r w:rsidRPr="009A6FDE">
        <w:rPr>
          <w:rFonts w:ascii="Times New Roman" w:eastAsiaTheme="minorEastAsia" w:hAnsi="Times New Roman" w:cs="Times New Roman"/>
          <w:sz w:val="28"/>
          <w:szCs w:val="28"/>
          <w:lang w:eastAsia="ru-RU"/>
        </w:rPr>
        <w:t xml:space="preserve">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w:t>
      </w:r>
      <w:r w:rsidRPr="009A6FDE">
        <w:rPr>
          <w:rFonts w:ascii="Times New Roman" w:eastAsiaTheme="minorEastAsia" w:hAnsi="Times New Roman" w:cs="Times New Roman"/>
          <w:sz w:val="28"/>
          <w:szCs w:val="28"/>
          <w:lang w:eastAsia="ru-RU"/>
        </w:rPr>
        <w:lastRenderedPageBreak/>
        <w:t>государственным органам в федеральном бюджете на руководство и управление в сфере установленных функций.</w:t>
      </w:r>
      <w:proofErr w:type="gramEnd"/>
    </w:p>
    <w:p w:rsidR="005D5DBB" w:rsidRPr="009A6FDE" w:rsidRDefault="005D5DBB" w:rsidP="009A6FDE">
      <w:pPr>
        <w:spacing w:after="0" w:line="360" w:lineRule="auto"/>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5D5DBB" w:rsidRPr="009A6FDE" w:rsidRDefault="005D5DBB" w:rsidP="005D5DBB">
      <w:pPr>
        <w:spacing w:before="100" w:beforeAutospacing="1" w:after="100" w:afterAutospacing="1" w:line="240" w:lineRule="auto"/>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b/>
          <w:bCs/>
          <w:sz w:val="28"/>
          <w:szCs w:val="28"/>
          <w:lang w:eastAsia="ru-RU"/>
        </w:rPr>
        <w:t>Председатель Правительства Российской Федерации</w:t>
      </w:r>
    </w:p>
    <w:p w:rsidR="005D5DBB" w:rsidRPr="009A6FDE" w:rsidRDefault="005D5DBB" w:rsidP="005D5DBB">
      <w:pPr>
        <w:spacing w:before="100" w:beforeAutospacing="1" w:after="100" w:afterAutospacing="1" w:line="240" w:lineRule="auto"/>
        <w:rPr>
          <w:rFonts w:ascii="Times New Roman" w:eastAsiaTheme="minorEastAsia" w:hAnsi="Times New Roman" w:cs="Times New Roman"/>
          <w:b/>
          <w:bCs/>
          <w:sz w:val="28"/>
          <w:szCs w:val="28"/>
          <w:lang w:eastAsia="ru-RU"/>
        </w:rPr>
      </w:pPr>
      <w:r w:rsidRPr="009A6FDE">
        <w:rPr>
          <w:rFonts w:ascii="Times New Roman" w:eastAsiaTheme="minorEastAsia" w:hAnsi="Times New Roman" w:cs="Times New Roman"/>
          <w:b/>
          <w:bCs/>
          <w:sz w:val="28"/>
          <w:szCs w:val="28"/>
          <w:lang w:eastAsia="ru-RU"/>
        </w:rPr>
        <w:t>Д. Медведев</w:t>
      </w: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9A6FDE" w:rsidRPr="005D5DBB" w:rsidRDefault="009A6FDE" w:rsidP="005D5DBB">
      <w:pPr>
        <w:spacing w:before="100" w:beforeAutospacing="1" w:after="100" w:afterAutospacing="1" w:line="240" w:lineRule="auto"/>
        <w:rPr>
          <w:rFonts w:ascii="Times New Roman" w:eastAsiaTheme="minorEastAsia" w:hAnsi="Times New Roman" w:cs="Times New Roman"/>
          <w:sz w:val="24"/>
          <w:szCs w:val="24"/>
          <w:lang w:eastAsia="ru-RU"/>
        </w:rPr>
      </w:pPr>
    </w:p>
    <w:p w:rsidR="005D5DBB" w:rsidRPr="009A6FDE" w:rsidRDefault="005D5DBB" w:rsidP="009A6FDE">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9A6FDE">
        <w:rPr>
          <w:rFonts w:ascii="Times New Roman" w:eastAsia="Times New Roman" w:hAnsi="Times New Roman" w:cs="Times New Roman"/>
          <w:b/>
          <w:bCs/>
          <w:sz w:val="28"/>
          <w:szCs w:val="28"/>
          <w:lang w:eastAsia="ru-RU"/>
        </w:rPr>
        <w:lastRenderedPageBreak/>
        <w:t>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1. </w:t>
      </w:r>
      <w:proofErr w:type="gramStart"/>
      <w:r w:rsidRPr="009A6FDE">
        <w:rPr>
          <w:rFonts w:ascii="Times New Roman" w:eastAsiaTheme="minorEastAsia" w:hAnsi="Times New Roman" w:cs="Times New Roman"/>
          <w:sz w:val="28"/>
          <w:szCs w:val="28"/>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9A6FDE">
        <w:rPr>
          <w:rFonts w:ascii="Times New Roman" w:eastAsiaTheme="minorEastAsia" w:hAnsi="Times New Roman" w:cs="Times New Roman"/>
          <w:sz w:val="28"/>
          <w:szCs w:val="28"/>
          <w:lang w:eastAsia="ru-RU"/>
        </w:rPr>
        <w:t xml:space="preserve"> (</w:t>
      </w:r>
      <w:proofErr w:type="gramStart"/>
      <w:r w:rsidRPr="009A6FDE">
        <w:rPr>
          <w:rFonts w:ascii="Times New Roman" w:eastAsiaTheme="minorEastAsia" w:hAnsi="Times New Roman" w:cs="Times New Roman"/>
          <w:sz w:val="28"/>
          <w:szCs w:val="28"/>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2. Для целей настоящего Типового положения используются следующие понятия:</w:t>
      </w:r>
    </w:p>
    <w:p w:rsidR="005D5DBB" w:rsidRPr="009A6FDE" w:rsidRDefault="005D5DBB" w:rsidP="009A6FDE">
      <w:pPr>
        <w:spacing w:after="0" w:line="360" w:lineRule="auto"/>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"подарок, полученный в связи с протокольными мероприятиями, служебными командировками и другими официальными мероприятиями" </w:t>
      </w:r>
      <w:proofErr w:type="gramStart"/>
      <w:r w:rsidRPr="009A6FDE">
        <w:rPr>
          <w:rFonts w:ascii="Times New Roman" w:eastAsiaTheme="minorEastAsia" w:hAnsi="Times New Roman" w:cs="Times New Roman"/>
          <w:sz w:val="28"/>
          <w:szCs w:val="28"/>
          <w:lang w:eastAsia="ru-RU"/>
        </w:rPr>
        <w:t>-п</w:t>
      </w:r>
      <w:proofErr w:type="gramEnd"/>
      <w:r w:rsidRPr="009A6FDE">
        <w:rPr>
          <w:rFonts w:ascii="Times New Roman" w:eastAsiaTheme="minorEastAsia" w:hAnsi="Times New Roman" w:cs="Times New Roman"/>
          <w:sz w:val="28"/>
          <w:szCs w:val="28"/>
          <w:lang w:eastAsia="ru-RU"/>
        </w:rP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D5DBB" w:rsidRPr="009A6FDE" w:rsidRDefault="005D5DBB" w:rsidP="009A6FDE">
      <w:pPr>
        <w:spacing w:after="0" w:line="360" w:lineRule="auto"/>
        <w:jc w:val="both"/>
        <w:rPr>
          <w:rFonts w:ascii="Times New Roman" w:eastAsiaTheme="minorEastAsia" w:hAnsi="Times New Roman" w:cs="Times New Roman"/>
          <w:sz w:val="28"/>
          <w:szCs w:val="28"/>
          <w:lang w:eastAsia="ru-RU"/>
        </w:rPr>
      </w:pPr>
      <w:proofErr w:type="gramStart"/>
      <w:r w:rsidRPr="009A6FDE">
        <w:rPr>
          <w:rFonts w:ascii="Times New Roman" w:eastAsiaTheme="minorEastAsia" w:hAnsi="Times New Roman" w:cs="Times New Roman"/>
          <w:sz w:val="28"/>
          <w:szCs w:val="28"/>
          <w:lang w:eastAsia="ru-RU"/>
        </w:rPr>
        <w:lastRenderedPageBreak/>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9A6FDE">
        <w:rPr>
          <w:rFonts w:ascii="Times New Roman" w:eastAsiaTheme="minorEastAsia" w:hAnsi="Times New Roman" w:cs="Times New Roman"/>
          <w:sz w:val="28"/>
          <w:szCs w:val="28"/>
          <w:lang w:eastAsia="ru-RU"/>
        </w:rPr>
        <w:t xml:space="preserve"> особенности правового положения и специфику профессиональной служебной и трудовой деятельности указанных лиц.</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4. </w:t>
      </w:r>
      <w:proofErr w:type="gramStart"/>
      <w:r w:rsidRPr="009A6FDE">
        <w:rPr>
          <w:rFonts w:ascii="Times New Roman" w:eastAsiaTheme="minorEastAsia" w:hAnsi="Times New Roman" w:cs="Times New Roman"/>
          <w:sz w:val="28"/>
          <w:szCs w:val="28"/>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5. </w:t>
      </w:r>
      <w:proofErr w:type="gramStart"/>
      <w:r w:rsidRPr="009A6FDE">
        <w:rPr>
          <w:rFonts w:ascii="Times New Roman" w:eastAsiaTheme="minorEastAsia" w:hAnsi="Times New Roman" w:cs="Times New Roman"/>
          <w:sz w:val="28"/>
          <w:szCs w:val="28"/>
          <w:lang w:eastAsia="ru-RU"/>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9A6FDE">
        <w:rPr>
          <w:rFonts w:ascii="Times New Roman" w:eastAsiaTheme="minorEastAsia" w:hAnsi="Times New Roman" w:cs="Times New Roman"/>
          <w:sz w:val="28"/>
          <w:szCs w:val="28"/>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w:t>
      </w:r>
      <w:r w:rsidRPr="009A6FDE">
        <w:rPr>
          <w:rFonts w:ascii="Times New Roman" w:eastAsiaTheme="minorEastAsia" w:hAnsi="Times New Roman" w:cs="Times New Roman"/>
          <w:sz w:val="28"/>
          <w:szCs w:val="28"/>
          <w:lang w:eastAsia="ru-RU"/>
        </w:rPr>
        <w:lastRenderedPageBreak/>
        <w:t>стоимость подарка (кассовый чек, товарный чек, иной документ об оплате (приобретении) подарка).</w:t>
      </w:r>
    </w:p>
    <w:p w:rsidR="005D5DBB" w:rsidRPr="009A6FDE" w:rsidRDefault="005D5DBB" w:rsidP="009A6FDE">
      <w:pPr>
        <w:spacing w:after="0" w:line="360" w:lineRule="auto"/>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D5DBB" w:rsidRPr="009A6FDE" w:rsidRDefault="005D5DBB" w:rsidP="009A6FDE">
      <w:pPr>
        <w:spacing w:after="0" w:line="360" w:lineRule="auto"/>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6. </w:t>
      </w:r>
      <w:proofErr w:type="gramStart"/>
      <w:r w:rsidRPr="009A6FDE">
        <w:rPr>
          <w:rFonts w:ascii="Times New Roman" w:eastAsiaTheme="minorEastAsia" w:hAnsi="Times New Roman" w:cs="Times New Roman"/>
          <w:sz w:val="28"/>
          <w:szCs w:val="28"/>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7. </w:t>
      </w:r>
      <w:proofErr w:type="gramStart"/>
      <w:r w:rsidRPr="009A6FDE">
        <w:rPr>
          <w:rFonts w:ascii="Times New Roman" w:eastAsiaTheme="minorEastAsia" w:hAnsi="Times New Roman" w:cs="Times New Roman"/>
          <w:sz w:val="28"/>
          <w:szCs w:val="28"/>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9. </w:t>
      </w:r>
      <w:proofErr w:type="gramStart"/>
      <w:r w:rsidRPr="009A6FDE">
        <w:rPr>
          <w:rFonts w:ascii="Times New Roman" w:eastAsiaTheme="minorEastAsia"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9A6FDE">
        <w:rPr>
          <w:rFonts w:ascii="Times New Roman" w:eastAsiaTheme="minorEastAsia" w:hAnsi="Times New Roman" w:cs="Times New Roman"/>
          <w:sz w:val="28"/>
          <w:szCs w:val="28"/>
          <w:lang w:eastAsia="ru-RU"/>
        </w:rPr>
        <w:t xml:space="preserve"> или повреждение подарка несет лицо, получившее подарок.</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w:t>
      </w:r>
      <w:r w:rsidRPr="009A6FDE">
        <w:rPr>
          <w:rFonts w:ascii="Times New Roman" w:eastAsiaTheme="minorEastAsia" w:hAnsi="Times New Roman" w:cs="Times New Roman"/>
          <w:sz w:val="28"/>
          <w:szCs w:val="28"/>
          <w:lang w:eastAsia="ru-RU"/>
        </w:rPr>
        <w:lastRenderedPageBreak/>
        <w:t>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13. </w:t>
      </w:r>
      <w:proofErr w:type="gramStart"/>
      <w:r w:rsidRPr="009A6FDE">
        <w:rPr>
          <w:rFonts w:ascii="Times New Roman" w:eastAsiaTheme="minorEastAsia" w:hAnsi="Times New Roman" w:cs="Times New Roman"/>
          <w:sz w:val="28"/>
          <w:szCs w:val="28"/>
          <w:lang w:eastAsia="ru-RU"/>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w:t>
      </w:r>
      <w:r w:rsidRPr="009A6FDE">
        <w:rPr>
          <w:rFonts w:ascii="Times New Roman" w:eastAsiaTheme="minorEastAsia" w:hAnsi="Times New Roman" w:cs="Times New Roman"/>
          <w:sz w:val="28"/>
          <w:szCs w:val="28"/>
          <w:lang w:eastAsia="ru-RU"/>
        </w:rPr>
        <w:lastRenderedPageBreak/>
        <w:t>(муниципальными) органами и организациями посредством проведения торгов в порядке, предусмотренном законодательством Российской Федерации.</w:t>
      </w:r>
    </w:p>
    <w:p w:rsid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D5DBB" w:rsidRPr="009A6FDE" w:rsidRDefault="005D5DBB" w:rsidP="009A6FDE">
      <w:pPr>
        <w:spacing w:after="0" w:line="360" w:lineRule="auto"/>
        <w:ind w:firstLine="708"/>
        <w:jc w:val="both"/>
        <w:rPr>
          <w:rFonts w:ascii="Times New Roman" w:eastAsiaTheme="minorEastAsia" w:hAnsi="Times New Roman" w:cs="Times New Roman"/>
          <w:sz w:val="28"/>
          <w:szCs w:val="28"/>
          <w:lang w:eastAsia="ru-RU"/>
        </w:rPr>
      </w:pPr>
      <w:r w:rsidRPr="009A6FDE">
        <w:rPr>
          <w:rFonts w:ascii="Times New Roman" w:eastAsiaTheme="minorEastAsia" w:hAnsi="Times New Roman" w:cs="Times New Roman"/>
          <w:sz w:val="28"/>
          <w:szCs w:val="28"/>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A20B4" w:rsidRPr="009A6FDE" w:rsidRDefault="002A20B4">
      <w:pPr>
        <w:rPr>
          <w:sz w:val="28"/>
          <w:szCs w:val="28"/>
        </w:rPr>
      </w:pPr>
    </w:p>
    <w:sectPr w:rsidR="002A20B4" w:rsidRPr="009A6FDE" w:rsidSect="009A6FDE">
      <w:pgSz w:w="11906" w:h="16838"/>
      <w:pgMar w:top="567"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BB"/>
    <w:rsid w:val="001914E5"/>
    <w:rsid w:val="001B3736"/>
    <w:rsid w:val="002A20B4"/>
    <w:rsid w:val="004F1A26"/>
    <w:rsid w:val="005D26DC"/>
    <w:rsid w:val="005D5DBB"/>
    <w:rsid w:val="006B3703"/>
    <w:rsid w:val="007C63B7"/>
    <w:rsid w:val="00911A0C"/>
    <w:rsid w:val="009A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DC"/>
  </w:style>
  <w:style w:type="paragraph" w:styleId="1">
    <w:name w:val="heading 1"/>
    <w:basedOn w:val="a"/>
    <w:link w:val="10"/>
    <w:uiPriority w:val="9"/>
    <w:qFormat/>
    <w:rsid w:val="005D5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5DB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5D5DBB"/>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D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5DBB"/>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5D5DB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5D5DB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DC"/>
  </w:style>
  <w:style w:type="paragraph" w:styleId="1">
    <w:name w:val="heading 1"/>
    <w:basedOn w:val="a"/>
    <w:link w:val="10"/>
    <w:uiPriority w:val="9"/>
    <w:qFormat/>
    <w:rsid w:val="005D5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5DB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5D5DBB"/>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D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5DBB"/>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5D5DB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5D5DB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Антикор</cp:lastModifiedBy>
  <cp:revision>3</cp:revision>
  <cp:lastPrinted>2014-05-04T06:30:00Z</cp:lastPrinted>
  <dcterms:created xsi:type="dcterms:W3CDTF">2019-04-25T05:19:00Z</dcterms:created>
  <dcterms:modified xsi:type="dcterms:W3CDTF">2019-04-25T10:52:00Z</dcterms:modified>
</cp:coreProperties>
</file>