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-574675</wp:posOffset>
            </wp:positionV>
            <wp:extent cx="965835" cy="1108710"/>
            <wp:effectExtent l="0" t="0" r="571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65835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076DE">
        <w:rPr>
          <w:rFonts w:ascii="Segoe UI" w:hAnsi="Segoe UI"/>
          <w:b/>
          <w:sz w:val="32"/>
          <w:szCs w:val="32"/>
        </w:rPr>
        <w:t>1</w:t>
      </w:r>
      <w:r w:rsidR="00185D25">
        <w:rPr>
          <w:rFonts w:ascii="Segoe UI" w:hAnsi="Segoe UI"/>
          <w:b/>
          <w:sz w:val="32"/>
          <w:szCs w:val="32"/>
        </w:rPr>
        <w:t>4</w:t>
      </w:r>
      <w:proofErr w:type="gramEnd"/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A3D58" w:rsidRPr="001A3D58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A3D58" w:rsidRPr="001A3D58">
        <w:rPr>
          <w:sz w:val="32"/>
          <w:szCs w:val="32"/>
        </w:rPr>
        <w:fldChar w:fldCharType="separate"/>
      </w:r>
      <w:r w:rsidR="00085ED5" w:rsidRPr="00085ED5">
        <w:rPr>
          <w:rFonts w:ascii="Segoe UI" w:hAnsi="Segoe UI"/>
          <w:b/>
          <w:noProof/>
          <w:vanish/>
          <w:sz w:val="32"/>
          <w:szCs w:val="32"/>
        </w:rPr>
        <w:t>1</w:t>
      </w:r>
      <w:r w:rsidR="001A3D58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AD6A0C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512708" w:rsidRDefault="00512708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B2665" w:rsidRPr="00EE6E17" w:rsidRDefault="00647485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завершены </w:t>
      </w:r>
      <w:r w:rsidRPr="00647485">
        <w:rPr>
          <w:rFonts w:ascii="Segoe UI" w:eastAsia="Times New Roman" w:hAnsi="Segoe UI" w:cs="Segoe UI"/>
          <w:b/>
          <w:color w:val="000000"/>
          <w:sz w:val="32"/>
          <w:szCs w:val="32"/>
        </w:rPr>
        <w:t>комплексные кадастровые работы</w:t>
      </w:r>
      <w:r w:rsidR="0024340A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за</w:t>
      </w:r>
      <w:r w:rsidR="004E0D7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2025 год</w:t>
      </w:r>
    </w:p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647485" w:rsidRPr="000C3B07" w:rsidRDefault="00647485" w:rsidP="0064748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r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>В</w:t>
      </w:r>
      <w:r w:rsidR="004E0D75"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результате их проведения установлены</w:t>
      </w:r>
      <w:r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границы</w:t>
      </w:r>
      <w:r w:rsidR="004E0D75"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в отношении </w:t>
      </w:r>
      <w:r w:rsidR="00BC0FA3"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>более 125</w:t>
      </w:r>
      <w:r w:rsidR="004E0D75"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тысяч </w:t>
      </w:r>
      <w:r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объектов недвижимости</w:t>
      </w:r>
      <w:r w:rsidR="004E0D75"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>. Об этом сообщил</w:t>
      </w:r>
      <w:r w:rsid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</w:t>
      </w:r>
      <w:r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руководитель </w:t>
      </w:r>
      <w:r w:rsidR="004E0D7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У</w:t>
      </w:r>
      <w:r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правления </w:t>
      </w:r>
      <w:proofErr w:type="spellStart"/>
      <w:r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Росреестра</w:t>
      </w:r>
      <w:proofErr w:type="spellEnd"/>
      <w:r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по</w:t>
      </w:r>
      <w:r w:rsidR="004E0D7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Республике Татарстан Азат</w:t>
      </w:r>
      <w:r w:rsidR="00085ED5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</w:t>
      </w:r>
      <w:proofErr w:type="spellStart"/>
      <w:r w:rsidR="004E0D7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Зяббаров</w:t>
      </w:r>
      <w:proofErr w:type="spellEnd"/>
      <w:r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. </w:t>
      </w:r>
    </w:p>
    <w:p w:rsidR="00597A4D" w:rsidRPr="000C3B07" w:rsidRDefault="00BC0FA3" w:rsidP="0064748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В Республике Татарстан </w:t>
      </w:r>
      <w:r w:rsidR="00F500DD" w:rsidRPr="000C3B07">
        <w:rPr>
          <w:rFonts w:ascii="Segoe UI" w:eastAsia="Times New Roman" w:hAnsi="Segoe UI" w:cs="Segoe UI"/>
          <w:color w:val="000000"/>
          <w:sz w:val="26"/>
          <w:szCs w:val="26"/>
        </w:rPr>
        <w:t>пров</w:t>
      </w:r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>едены комплексные кадастровые работы</w:t>
      </w:r>
      <w:r w:rsidR="001B6E90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  <w:r w:rsidR="00654176" w:rsidRPr="000C3B07">
        <w:rPr>
          <w:rFonts w:ascii="Segoe UI" w:eastAsia="Times New Roman" w:hAnsi="Segoe UI" w:cs="Segoe UI"/>
          <w:color w:val="000000"/>
          <w:sz w:val="26"/>
          <w:szCs w:val="26"/>
        </w:rPr>
        <w:t>(ККР)</w:t>
      </w:r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федерального и регионального</w:t>
      </w:r>
      <w:r w:rsidR="00597A4D"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значения. Благодаря этому, без привлечения сре</w:t>
      </w:r>
      <w:proofErr w:type="gramStart"/>
      <w:r w:rsidR="00597A4D" w:rsidRPr="000C3B07">
        <w:rPr>
          <w:rFonts w:ascii="Segoe UI" w:eastAsia="Times New Roman" w:hAnsi="Segoe UI" w:cs="Segoe UI"/>
          <w:color w:val="000000"/>
          <w:sz w:val="26"/>
          <w:szCs w:val="26"/>
        </w:rPr>
        <w:t>дст</w:t>
      </w:r>
      <w:r w:rsidR="00F500DD" w:rsidRPr="000C3B07">
        <w:rPr>
          <w:rFonts w:ascii="Segoe UI" w:eastAsia="Times New Roman" w:hAnsi="Segoe UI" w:cs="Segoe UI"/>
          <w:color w:val="000000"/>
          <w:sz w:val="26"/>
          <w:szCs w:val="26"/>
        </w:rPr>
        <w:t>в</w:t>
      </w:r>
      <w:r w:rsidR="00597A4D"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пр</w:t>
      </w:r>
      <w:proofErr w:type="gramEnd"/>
      <w:r w:rsidR="00597A4D" w:rsidRPr="000C3B07">
        <w:rPr>
          <w:rFonts w:ascii="Segoe UI" w:eastAsia="Times New Roman" w:hAnsi="Segoe UI" w:cs="Segoe UI"/>
          <w:color w:val="000000"/>
          <w:sz w:val="26"/>
          <w:szCs w:val="26"/>
        </w:rPr>
        <w:t>авообладателей, установлены</w:t>
      </w:r>
      <w:r w:rsidR="008A3C24">
        <w:rPr>
          <w:rFonts w:ascii="Segoe UI" w:eastAsia="Times New Roman" w:hAnsi="Segoe UI" w:cs="Segoe UI"/>
          <w:color w:val="000000"/>
          <w:sz w:val="26"/>
          <w:szCs w:val="26"/>
        </w:rPr>
        <w:t xml:space="preserve"> и </w:t>
      </w:r>
      <w:r w:rsidR="008A3C24" w:rsidRPr="001B6E90">
        <w:rPr>
          <w:rFonts w:ascii="Segoe UI" w:eastAsia="Times New Roman" w:hAnsi="Segoe UI" w:cs="Segoe UI"/>
          <w:color w:val="000000"/>
          <w:sz w:val="26"/>
          <w:szCs w:val="26"/>
        </w:rPr>
        <w:t>уточнены</w:t>
      </w:r>
      <w:r w:rsidR="00597A4D"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границы в</w:t>
      </w:r>
      <w:r w:rsidR="00F500DD"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отношении </w:t>
      </w:r>
      <w:r w:rsidR="00F500DD" w:rsidRPr="000C3B07">
        <w:rPr>
          <w:rFonts w:ascii="Segoe UI" w:eastAsia="Times New Roman" w:hAnsi="Segoe UI" w:cs="Segoe UI"/>
          <w:b/>
          <w:color w:val="000000"/>
          <w:sz w:val="26"/>
          <w:szCs w:val="26"/>
        </w:rPr>
        <w:t>69,5 тыс.</w:t>
      </w:r>
      <w:r w:rsidR="00F500DD"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земельных участков  </w:t>
      </w:r>
      <w:r w:rsidR="00597A4D" w:rsidRPr="000C3B07">
        <w:rPr>
          <w:rFonts w:ascii="Segoe UI" w:eastAsia="Times New Roman" w:hAnsi="Segoe UI" w:cs="Segoe UI"/>
          <w:color w:val="000000"/>
          <w:sz w:val="26"/>
          <w:szCs w:val="26"/>
        </w:rPr>
        <w:t>и</w:t>
      </w:r>
      <w:r w:rsidR="001B6E90">
        <w:rPr>
          <w:rFonts w:ascii="Segoe UI" w:eastAsia="Times New Roman" w:hAnsi="Segoe UI" w:cs="Segoe UI"/>
          <w:color w:val="000000"/>
          <w:sz w:val="26"/>
          <w:szCs w:val="26"/>
        </w:rPr>
        <w:t xml:space="preserve"> </w:t>
      </w:r>
      <w:r w:rsidR="00597A4D" w:rsidRPr="000C3B07">
        <w:rPr>
          <w:rFonts w:ascii="Segoe UI" w:eastAsia="Times New Roman" w:hAnsi="Segoe UI" w:cs="Segoe UI"/>
          <w:b/>
          <w:color w:val="000000"/>
          <w:sz w:val="26"/>
          <w:szCs w:val="26"/>
        </w:rPr>
        <w:t>55,7 тыс.</w:t>
      </w:r>
      <w:r w:rsidR="00597A4D"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объектов капитального строительства. </w:t>
      </w:r>
      <w:r w:rsidR="0044498C" w:rsidRPr="000C3B07">
        <w:rPr>
          <w:rFonts w:ascii="Segoe UI" w:eastAsia="Times New Roman" w:hAnsi="Segoe UI" w:cs="Segoe UI"/>
          <w:color w:val="000000"/>
          <w:sz w:val="26"/>
          <w:szCs w:val="26"/>
        </w:rPr>
        <w:t>Сведения, полученные в результате выполнения ККР, внесены в Единый государственный реестр недвижимости.</w:t>
      </w:r>
    </w:p>
    <w:p w:rsidR="00647485" w:rsidRPr="000C3B07" w:rsidRDefault="00597A4D" w:rsidP="0064748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r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«Р</w:t>
      </w:r>
      <w:r w:rsidR="00647485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еспублика Татарстан остается одним из лидеров по проведению </w:t>
      </w:r>
      <w:r w:rsidR="00D959FD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комплексных кадастровых работ</w:t>
      </w:r>
      <w:r w:rsidR="008A3C24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за счет бюджетных средств</w:t>
      </w:r>
      <w:r w:rsidR="00647485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. Текущий год является рекордным по количеству охваченных кадастровых кварталов, так  </w:t>
      </w:r>
      <w:r w:rsidR="00D959FD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комплексные кадастровые работы</w:t>
      </w:r>
      <w:r w:rsidR="00647485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проведены на территории 259 кадастровых кварталов </w:t>
      </w:r>
      <w:r w:rsidR="008A3C24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в отношении</w:t>
      </w:r>
      <w:r w:rsidR="001B6E90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</w:t>
      </w:r>
      <w:r w:rsidR="00BC0FA3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более 125</w:t>
      </w:r>
      <w:r w:rsidR="00D959FD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тысяч</w:t>
      </w:r>
      <w:r w:rsidR="001B6E90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</w:t>
      </w:r>
      <w:r w:rsidR="00647485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объектов недвижимости</w:t>
      </w:r>
      <w:r w:rsid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. </w:t>
      </w:r>
      <w:r w:rsidR="001B6E90" w:rsidRPr="00A97515">
        <w:rPr>
          <w:rFonts w:ascii="Segoe UI" w:eastAsia="Times New Roman" w:hAnsi="Segoe UI" w:cs="Segoe UI"/>
          <w:i/>
          <w:color w:val="000000"/>
          <w:sz w:val="26"/>
          <w:szCs w:val="26"/>
        </w:rPr>
        <w:t>Уточнение границ поможет избежать проблем при совершении сделок с недвижимостью и ула</w:t>
      </w:r>
      <w:r w:rsidR="001B6E90">
        <w:rPr>
          <w:rFonts w:ascii="Segoe UI" w:eastAsia="Times New Roman" w:hAnsi="Segoe UI" w:cs="Segoe UI"/>
          <w:i/>
          <w:color w:val="000000"/>
          <w:sz w:val="26"/>
          <w:szCs w:val="26"/>
        </w:rPr>
        <w:t>дить спорные моменты с соседями</w:t>
      </w:r>
      <w:r w:rsidR="00D959FD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»</w:t>
      </w:r>
      <w:r w:rsidR="004E0D75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,</w:t>
      </w:r>
      <w:r w:rsidR="004E0D75"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- </w:t>
      </w:r>
      <w:r w:rsidR="00654176" w:rsidRPr="000C3B07">
        <w:rPr>
          <w:rFonts w:ascii="Segoe UI" w:eastAsia="Times New Roman" w:hAnsi="Segoe UI" w:cs="Segoe UI"/>
          <w:i/>
          <w:color w:val="000000"/>
          <w:sz w:val="26"/>
          <w:szCs w:val="26"/>
        </w:rPr>
        <w:t>сообщил</w:t>
      </w:r>
      <w:r w:rsid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</w:t>
      </w:r>
      <w:r w:rsidR="004E0D7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руководитель Управления </w:t>
      </w:r>
      <w:proofErr w:type="spellStart"/>
      <w:r w:rsidR="004E0D7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Росреестра</w:t>
      </w:r>
      <w:proofErr w:type="spellEnd"/>
      <w:r w:rsidR="004E0D7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</w:t>
      </w:r>
      <w:r w:rsidR="00C81612" w:rsidRPr="00C81612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                 </w:t>
      </w:r>
      <w:r w:rsidR="004E0D7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по Республике Татарстан Азат</w:t>
      </w:r>
      <w:r w:rsidR="001B6E90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</w:t>
      </w:r>
      <w:proofErr w:type="spellStart"/>
      <w:r w:rsidR="004E0D7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Зяббаров</w:t>
      </w:r>
      <w:proofErr w:type="spellEnd"/>
      <w:r w:rsidR="00647485" w:rsidRPr="000C3B07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.</w:t>
      </w:r>
    </w:p>
    <w:p w:rsidR="009C348C" w:rsidRPr="00A97515" w:rsidRDefault="009C348C" w:rsidP="009C34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6"/>
          <w:szCs w:val="26"/>
        </w:rPr>
      </w:pPr>
      <w:r w:rsidRPr="00A97515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«Комплексные кадастровые работы проводятся сразу в отношении всех земельных участков, расположенных на территории кадастрового квартала. </w:t>
      </w:r>
      <w:r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Для правообладателей недвижимости эта процедура бесплатна, </w:t>
      </w:r>
      <w:r w:rsidR="00376DE3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также они вправе предоставить исполнителю комплексных кадастровых работ имеющиеся у них материалы и документы в отношении своих объектов, </w:t>
      </w:r>
      <w:r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при этом они не вправе препятствовать выполнению этих работ. Собственники</w:t>
      </w:r>
      <w:bookmarkStart w:id="0" w:name="_GoBack"/>
      <w:bookmarkEnd w:id="0"/>
      <w:r w:rsidR="004424F5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</w:t>
      </w:r>
      <w:r w:rsidR="008A3C24" w:rsidRPr="001B6E90">
        <w:rPr>
          <w:rFonts w:ascii="Segoe UI" w:eastAsia="Times New Roman" w:hAnsi="Segoe UI" w:cs="Segoe UI"/>
          <w:i/>
          <w:color w:val="000000"/>
          <w:sz w:val="26"/>
          <w:szCs w:val="26"/>
        </w:rPr>
        <w:t>могут представить возражения относительно местоположения границ в согласительную комиссию</w:t>
      </w:r>
      <w:r w:rsidR="001B6E90">
        <w:rPr>
          <w:rFonts w:ascii="Segoe UI" w:eastAsia="Times New Roman" w:hAnsi="Segoe UI" w:cs="Segoe UI"/>
          <w:i/>
          <w:color w:val="000000"/>
          <w:sz w:val="26"/>
          <w:szCs w:val="26"/>
        </w:rPr>
        <w:t>»</w:t>
      </w:r>
      <w:r w:rsidR="00B3093C">
        <w:rPr>
          <w:rFonts w:ascii="Segoe UI" w:eastAsia="Times New Roman" w:hAnsi="Segoe UI" w:cs="Segoe UI"/>
          <w:i/>
          <w:color w:val="000000"/>
          <w:sz w:val="26"/>
          <w:szCs w:val="26"/>
        </w:rPr>
        <w:t>,</w:t>
      </w:r>
      <w:r w:rsidR="001B6E90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</w:t>
      </w:r>
      <w:r w:rsidRPr="00D355A1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- </w:t>
      </w:r>
      <w:r w:rsidRPr="009C348C">
        <w:rPr>
          <w:rFonts w:ascii="Segoe UI" w:eastAsia="Times New Roman" w:hAnsi="Segoe UI" w:cs="Segoe UI"/>
          <w:i/>
          <w:color w:val="000000"/>
          <w:sz w:val="26"/>
          <w:szCs w:val="26"/>
        </w:rPr>
        <w:t>отметил</w:t>
      </w:r>
      <w:r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министр земельных и имущественных отношений Республики Татарстан </w:t>
      </w:r>
      <w:proofErr w:type="spellStart"/>
      <w:r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Фаниль</w:t>
      </w:r>
      <w:proofErr w:type="spellEnd"/>
      <w:r w:rsidR="00C81612" w:rsidRPr="00C81612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Аглиуллин</w:t>
      </w:r>
      <w:proofErr w:type="spellEnd"/>
      <w:r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. </w:t>
      </w:r>
    </w:p>
    <w:p w:rsidR="00D355A1" w:rsidRPr="00D355A1" w:rsidRDefault="00D355A1" w:rsidP="009C34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6"/>
          <w:szCs w:val="26"/>
        </w:rPr>
      </w:pPr>
      <w:r w:rsidRPr="00D355A1">
        <w:rPr>
          <w:rFonts w:ascii="Segoe UI" w:eastAsia="Times New Roman" w:hAnsi="Segoe UI" w:cs="Segoe UI"/>
          <w:i/>
          <w:color w:val="000000"/>
          <w:sz w:val="26"/>
          <w:szCs w:val="26"/>
        </w:rPr>
        <w:t>«Комплексные кадастровые работы дают не только экономический эффект, но и имеют большое социальное значение. Выполнение комплексных кадастровых работ обеспечивает полноту и качество сведений в Едином государственном реестре недвижимости, что</w:t>
      </w:r>
      <w:r>
        <w:rPr>
          <w:rFonts w:ascii="Segoe UI" w:eastAsia="Times New Roman" w:hAnsi="Segoe UI" w:cs="Segoe UI"/>
          <w:i/>
          <w:color w:val="000000"/>
          <w:sz w:val="26"/>
          <w:szCs w:val="26"/>
        </w:rPr>
        <w:t>,</w:t>
      </w:r>
      <w:r w:rsidRPr="00D355A1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в свою очередь</w:t>
      </w:r>
      <w:r>
        <w:rPr>
          <w:rFonts w:ascii="Segoe UI" w:eastAsia="Times New Roman" w:hAnsi="Segoe UI" w:cs="Segoe UI"/>
          <w:i/>
          <w:color w:val="000000"/>
          <w:sz w:val="26"/>
          <w:szCs w:val="26"/>
        </w:rPr>
        <w:t>,</w:t>
      </w:r>
      <w:r w:rsidRPr="00D355A1">
        <w:rPr>
          <w:rFonts w:ascii="Segoe UI" w:eastAsia="Times New Roman" w:hAnsi="Segoe UI" w:cs="Segoe UI"/>
          <w:i/>
          <w:color w:val="000000"/>
          <w:sz w:val="26"/>
          <w:szCs w:val="26"/>
        </w:rPr>
        <w:t xml:space="preserve"> положительно влияет на предпринимательский климат и </w:t>
      </w:r>
      <w:r w:rsidRPr="00D355A1">
        <w:rPr>
          <w:rFonts w:ascii="Segoe UI" w:eastAsia="Times New Roman" w:hAnsi="Segoe UI" w:cs="Segoe UI"/>
          <w:i/>
          <w:color w:val="000000"/>
          <w:sz w:val="26"/>
          <w:szCs w:val="26"/>
        </w:rPr>
        <w:lastRenderedPageBreak/>
        <w:t xml:space="preserve">привлечение потенциальных инвесторов для развития территорий муниципальных образований», - </w:t>
      </w:r>
      <w:r w:rsidRPr="00D355A1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добавил директор филиала ППК «</w:t>
      </w:r>
      <w:proofErr w:type="spellStart"/>
      <w:r w:rsidRPr="00D355A1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Роскадастр</w:t>
      </w:r>
      <w:proofErr w:type="spellEnd"/>
      <w:r w:rsidRPr="00D355A1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» по Республике Татарстан </w:t>
      </w:r>
      <w:proofErr w:type="spellStart"/>
      <w:r w:rsidRPr="00D355A1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>Ильсур</w:t>
      </w:r>
      <w:proofErr w:type="spellEnd"/>
      <w:r w:rsidRPr="00D355A1">
        <w:rPr>
          <w:rFonts w:ascii="Segoe UI" w:eastAsia="Times New Roman" w:hAnsi="Segoe UI" w:cs="Segoe UI"/>
          <w:b/>
          <w:i/>
          <w:color w:val="000000"/>
          <w:sz w:val="26"/>
          <w:szCs w:val="26"/>
        </w:rPr>
        <w:t xml:space="preserve"> Каримов.</w:t>
      </w:r>
    </w:p>
    <w:p w:rsidR="004E0D75" w:rsidRDefault="004E0D75" w:rsidP="004E0D7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Информация по итогам комплексных кадастровых работ доступна на публичной кадастровой карте на портале «Национальная система пространственных данных». Также граждане могут получить бесплатную </w:t>
      </w:r>
      <w:proofErr w:type="spellStart"/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>онлайн-выписку</w:t>
      </w:r>
      <w:proofErr w:type="spellEnd"/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из ЕГРН на свой земельный участок на портале </w:t>
      </w:r>
      <w:proofErr w:type="spellStart"/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>Госуслуг</w:t>
      </w:r>
      <w:proofErr w:type="spellEnd"/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 или в МФЦ.</w:t>
      </w:r>
    </w:p>
    <w:p w:rsidR="0044498C" w:rsidRPr="000C3B07" w:rsidRDefault="0044498C" w:rsidP="004449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</w:rPr>
      </w:pPr>
      <w:r w:rsidRPr="000C3B07">
        <w:rPr>
          <w:rFonts w:ascii="Segoe UI" w:eastAsia="Times New Roman" w:hAnsi="Segoe UI" w:cs="Segoe UI"/>
          <w:b/>
          <w:color w:val="000000"/>
          <w:sz w:val="26"/>
          <w:szCs w:val="26"/>
        </w:rPr>
        <w:t>К сведению</w:t>
      </w:r>
    </w:p>
    <w:p w:rsidR="0044498C" w:rsidRPr="000C3B07" w:rsidRDefault="0044498C" w:rsidP="004449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Под ККР понимаются кадастровые работы, которые выполняются одновременно в отношении всех объектов недвижимости, расположенных на территории одного кадастрового квартала или территориях нескольких смежных кадастровых кварталов. </w:t>
      </w:r>
    </w:p>
    <w:p w:rsidR="0044498C" w:rsidRPr="000C3B07" w:rsidRDefault="0044498C" w:rsidP="004449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 w:rsidRPr="000C3B07">
        <w:rPr>
          <w:rFonts w:ascii="Segoe UI" w:eastAsia="Times New Roman" w:hAnsi="Segoe UI" w:cs="Segoe UI"/>
          <w:color w:val="000000"/>
          <w:sz w:val="26"/>
          <w:szCs w:val="26"/>
        </w:rPr>
        <w:t>В результате ККР обеспечивают:</w:t>
      </w:r>
    </w:p>
    <w:p w:rsidR="0044498C" w:rsidRPr="000C3B07" w:rsidRDefault="00AE6AA3" w:rsidP="004449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   •  </w:t>
      </w:r>
      <w:r w:rsidR="0044498C" w:rsidRPr="000C3B07">
        <w:rPr>
          <w:rFonts w:ascii="Segoe UI" w:eastAsia="Times New Roman" w:hAnsi="Segoe UI" w:cs="Segoe UI"/>
          <w:color w:val="000000"/>
          <w:sz w:val="26"/>
          <w:szCs w:val="26"/>
        </w:rPr>
        <w:t>уточнение местоположения границ земельных участков;</w:t>
      </w:r>
    </w:p>
    <w:p w:rsidR="0044498C" w:rsidRPr="000C3B07" w:rsidRDefault="00AE6AA3" w:rsidP="004449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   • </w:t>
      </w:r>
      <w:r w:rsidR="0044498C" w:rsidRPr="000C3B07">
        <w:rPr>
          <w:rFonts w:ascii="Segoe UI" w:eastAsia="Times New Roman" w:hAnsi="Segoe UI" w:cs="Segoe UI"/>
          <w:color w:val="000000"/>
          <w:sz w:val="26"/>
          <w:szCs w:val="26"/>
        </w:rPr>
        <w:t>установление или уточнение местоположения зданий, сооружений, объектов незавершённого строительства на таких участках;</w:t>
      </w:r>
    </w:p>
    <w:p w:rsidR="0044498C" w:rsidRPr="000C3B07" w:rsidRDefault="00AE6AA3" w:rsidP="004449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   • </w:t>
      </w:r>
      <w:r w:rsidR="0044498C" w:rsidRPr="000C3B07">
        <w:rPr>
          <w:rFonts w:ascii="Segoe UI" w:eastAsia="Times New Roman" w:hAnsi="Segoe UI" w:cs="Segoe UI"/>
          <w:color w:val="000000"/>
          <w:sz w:val="26"/>
          <w:szCs w:val="26"/>
        </w:rPr>
        <w:t xml:space="preserve">образование земельных участков, на которых расположены здания, сооружения, за исключением линейных объектов; </w:t>
      </w:r>
    </w:p>
    <w:p w:rsidR="0044498C" w:rsidRPr="000C3B07" w:rsidRDefault="00AE6AA3" w:rsidP="004449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   • </w:t>
      </w:r>
      <w:r w:rsidR="0044498C" w:rsidRPr="000C3B07">
        <w:rPr>
          <w:rFonts w:ascii="Segoe UI" w:eastAsia="Times New Roman" w:hAnsi="Segoe UI" w:cs="Segoe UI"/>
          <w:color w:val="000000"/>
          <w:sz w:val="26"/>
          <w:szCs w:val="26"/>
        </w:rPr>
        <w:t>образование земельных участков общего пользования (улицы, проезды, скверы и др.);</w:t>
      </w:r>
    </w:p>
    <w:p w:rsidR="004E0D75" w:rsidRPr="000C3B07" w:rsidRDefault="00AE6AA3" w:rsidP="0044498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</w:rPr>
      </w:pPr>
      <w:r>
        <w:rPr>
          <w:rFonts w:ascii="Segoe UI" w:eastAsia="Times New Roman" w:hAnsi="Segoe UI" w:cs="Segoe UI"/>
          <w:color w:val="000000"/>
          <w:sz w:val="26"/>
          <w:szCs w:val="26"/>
        </w:rPr>
        <w:t xml:space="preserve">    • </w:t>
      </w:r>
      <w:r w:rsidR="0044498C" w:rsidRPr="000C3B07">
        <w:rPr>
          <w:rFonts w:ascii="Segoe UI" w:eastAsia="Times New Roman" w:hAnsi="Segoe UI" w:cs="Segoe UI"/>
          <w:color w:val="000000"/>
          <w:sz w:val="26"/>
          <w:szCs w:val="26"/>
        </w:rPr>
        <w:t>исправление реестровых ошибок в сведениях ЕГРН о границах и расположении объектов.</w:t>
      </w: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FE44A9" w:rsidRDefault="00FE44A9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21089E" w:rsidRDefault="0021089E" w:rsidP="00167140">
      <w:pPr>
        <w:spacing w:after="0" w:line="240" w:lineRule="atLeast"/>
        <w:jc w:val="right"/>
        <w:rPr>
          <w:rFonts w:ascii="Segoe UI" w:hAnsi="Segoe UI"/>
          <w:b/>
          <w:sz w:val="18"/>
          <w:szCs w:val="18"/>
        </w:rPr>
      </w:pPr>
    </w:p>
    <w:p w:rsidR="00FE44A9" w:rsidRDefault="00FE44A9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FE44A9" w:rsidRDefault="00FE44A9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</w:p>
    <w:p w:rsidR="00167140" w:rsidRPr="00E40288" w:rsidRDefault="00167140" w:rsidP="00167140">
      <w:pPr>
        <w:spacing w:after="0" w:line="240" w:lineRule="atLeast"/>
        <w:jc w:val="right"/>
        <w:rPr>
          <w:rFonts w:ascii="Segoe UI" w:hAnsi="Segoe UI"/>
          <w:b/>
          <w:sz w:val="24"/>
          <w:szCs w:val="24"/>
        </w:rPr>
      </w:pPr>
      <w:r w:rsidRPr="00E40288">
        <w:rPr>
          <w:rFonts w:ascii="Segoe UI" w:hAnsi="Segoe UI"/>
          <w:b/>
          <w:sz w:val="24"/>
          <w:szCs w:val="24"/>
        </w:rPr>
        <w:t>Контакты для СМИ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Пресс-служба </w:t>
      </w:r>
      <w:proofErr w:type="spellStart"/>
      <w:r w:rsidRPr="00E40288">
        <w:rPr>
          <w:rFonts w:ascii="Segoe UI" w:eastAsia="Times New Roman" w:hAnsi="Segoe UI"/>
          <w:color w:val="000000"/>
          <w:sz w:val="24"/>
          <w:szCs w:val="24"/>
        </w:rPr>
        <w:t>Росреестра</w:t>
      </w:r>
      <w:proofErr w:type="spellEnd"/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 Татарстана</w:t>
      </w:r>
    </w:p>
    <w:p w:rsidR="00167140" w:rsidRPr="00E40288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8 (843) 255-25-10 </w:t>
      </w:r>
    </w:p>
    <w:p w:rsidR="00167140" w:rsidRPr="00E40288" w:rsidRDefault="001A3D58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  <w:hyperlink r:id="rId7" w:tooltip="https://rosreestr.tatarstan.ru" w:history="1">
        <w:r w:rsidR="00167140" w:rsidRPr="00E40288">
          <w:rPr>
            <w:rFonts w:ascii="Segoe UI" w:eastAsia="Times New Roman" w:hAnsi="Segoe UI"/>
            <w:color w:val="000000"/>
            <w:sz w:val="24"/>
            <w:szCs w:val="24"/>
          </w:rPr>
          <w:t>https://rosreestr.tatarstan.ru</w:t>
        </w:r>
      </w:hyperlink>
    </w:p>
    <w:p w:rsidR="00002A30" w:rsidRPr="00E40288" w:rsidRDefault="001A3D58" w:rsidP="00F33EF4">
      <w:pPr>
        <w:shd w:val="clear" w:color="auto" w:fill="FDFCFB"/>
        <w:spacing w:after="0" w:line="240" w:lineRule="atLeast"/>
        <w:ind w:firstLine="708"/>
        <w:jc w:val="right"/>
        <w:rPr>
          <w:sz w:val="24"/>
          <w:szCs w:val="24"/>
        </w:rPr>
      </w:pPr>
      <w:hyperlink r:id="rId8" w:tooltip="https://t.me/rosreestr_tatarstan" w:history="1">
        <w:r w:rsidR="00167140" w:rsidRPr="00E40288">
          <w:rPr>
            <w:rFonts w:eastAsia="Times New Roman"/>
            <w:color w:val="000000"/>
            <w:sz w:val="24"/>
            <w:szCs w:val="24"/>
          </w:rPr>
          <w:t>https://t.me/rosreestr_tatarstan</w:t>
        </w:r>
      </w:hyperlink>
    </w:p>
    <w:p w:rsidR="004367D6" w:rsidRPr="000C3B07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18"/>
          <w:szCs w:val="18"/>
        </w:rPr>
      </w:pPr>
      <w:r w:rsidRPr="00E40288">
        <w:rPr>
          <w:rFonts w:ascii="Segoe UI" w:eastAsia="Times New Roman" w:hAnsi="Segoe UI"/>
          <w:color w:val="000000"/>
          <w:sz w:val="24"/>
          <w:szCs w:val="24"/>
        </w:rPr>
        <w:t xml:space="preserve">https://vk.com/rosreestr16                                                                                                 </w:t>
      </w:r>
    </w:p>
    <w:sectPr w:rsidR="004367D6" w:rsidRPr="000C3B07" w:rsidSect="002108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21428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85ED5"/>
    <w:rsid w:val="00093A52"/>
    <w:rsid w:val="000A34AD"/>
    <w:rsid w:val="000C094B"/>
    <w:rsid w:val="000C3B07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5D25"/>
    <w:rsid w:val="00186973"/>
    <w:rsid w:val="0019061C"/>
    <w:rsid w:val="00193AD0"/>
    <w:rsid w:val="00194CD0"/>
    <w:rsid w:val="001A3D58"/>
    <w:rsid w:val="001A6280"/>
    <w:rsid w:val="001B4007"/>
    <w:rsid w:val="001B6E90"/>
    <w:rsid w:val="001C2FE6"/>
    <w:rsid w:val="001C3F16"/>
    <w:rsid w:val="00204B6C"/>
    <w:rsid w:val="00204BB6"/>
    <w:rsid w:val="0021089E"/>
    <w:rsid w:val="00210C48"/>
    <w:rsid w:val="00217852"/>
    <w:rsid w:val="00227DEC"/>
    <w:rsid w:val="00235AA2"/>
    <w:rsid w:val="0024340A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C493D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2861"/>
    <w:rsid w:val="00344B71"/>
    <w:rsid w:val="00346AC2"/>
    <w:rsid w:val="0035766A"/>
    <w:rsid w:val="0036092D"/>
    <w:rsid w:val="00366B60"/>
    <w:rsid w:val="00376DE3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6F0E"/>
    <w:rsid w:val="00433524"/>
    <w:rsid w:val="004367D6"/>
    <w:rsid w:val="004424F5"/>
    <w:rsid w:val="00443EF8"/>
    <w:rsid w:val="0044498C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0D75"/>
    <w:rsid w:val="004E3D71"/>
    <w:rsid w:val="004E7B90"/>
    <w:rsid w:val="004F2E4C"/>
    <w:rsid w:val="004F458E"/>
    <w:rsid w:val="004F5088"/>
    <w:rsid w:val="0050340D"/>
    <w:rsid w:val="00506DEB"/>
    <w:rsid w:val="00512708"/>
    <w:rsid w:val="00512959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4257"/>
    <w:rsid w:val="00586683"/>
    <w:rsid w:val="005900B6"/>
    <w:rsid w:val="0059170F"/>
    <w:rsid w:val="00593C63"/>
    <w:rsid w:val="00593E39"/>
    <w:rsid w:val="00594607"/>
    <w:rsid w:val="00597A4D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47485"/>
    <w:rsid w:val="00650CCE"/>
    <w:rsid w:val="00654176"/>
    <w:rsid w:val="00654BA2"/>
    <w:rsid w:val="00661FCC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076DE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0A6D"/>
    <w:rsid w:val="007F4407"/>
    <w:rsid w:val="00831173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3C24"/>
    <w:rsid w:val="008A79FB"/>
    <w:rsid w:val="008B24FB"/>
    <w:rsid w:val="008B38A0"/>
    <w:rsid w:val="008C0FD4"/>
    <w:rsid w:val="008C36D9"/>
    <w:rsid w:val="008C5241"/>
    <w:rsid w:val="008E0450"/>
    <w:rsid w:val="008E0629"/>
    <w:rsid w:val="008F5621"/>
    <w:rsid w:val="008F590E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1569"/>
    <w:rsid w:val="00954572"/>
    <w:rsid w:val="00972AE3"/>
    <w:rsid w:val="00972C47"/>
    <w:rsid w:val="00972F51"/>
    <w:rsid w:val="00980C36"/>
    <w:rsid w:val="00982ED7"/>
    <w:rsid w:val="009870D7"/>
    <w:rsid w:val="009A18A0"/>
    <w:rsid w:val="009A7F21"/>
    <w:rsid w:val="009B024D"/>
    <w:rsid w:val="009C348C"/>
    <w:rsid w:val="009C62D2"/>
    <w:rsid w:val="009C6A22"/>
    <w:rsid w:val="009E1F55"/>
    <w:rsid w:val="009E33DB"/>
    <w:rsid w:val="009E36B5"/>
    <w:rsid w:val="009E3BB1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2C2F"/>
    <w:rsid w:val="00A93964"/>
    <w:rsid w:val="00A94D2D"/>
    <w:rsid w:val="00A951DD"/>
    <w:rsid w:val="00A96B2A"/>
    <w:rsid w:val="00AA1D87"/>
    <w:rsid w:val="00AA5D5E"/>
    <w:rsid w:val="00AA63CC"/>
    <w:rsid w:val="00AB4700"/>
    <w:rsid w:val="00AB7E62"/>
    <w:rsid w:val="00AC387D"/>
    <w:rsid w:val="00AC4670"/>
    <w:rsid w:val="00AD6A0C"/>
    <w:rsid w:val="00AE1E89"/>
    <w:rsid w:val="00AE5705"/>
    <w:rsid w:val="00AE6AA3"/>
    <w:rsid w:val="00AF0D74"/>
    <w:rsid w:val="00B00528"/>
    <w:rsid w:val="00B10BF7"/>
    <w:rsid w:val="00B13CD2"/>
    <w:rsid w:val="00B20DEB"/>
    <w:rsid w:val="00B215C6"/>
    <w:rsid w:val="00B253B1"/>
    <w:rsid w:val="00B3093C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0FA3"/>
    <w:rsid w:val="00BC2C0A"/>
    <w:rsid w:val="00BC2E26"/>
    <w:rsid w:val="00BE2869"/>
    <w:rsid w:val="00BE3A9D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45A4C"/>
    <w:rsid w:val="00C51089"/>
    <w:rsid w:val="00C60F78"/>
    <w:rsid w:val="00C70DD8"/>
    <w:rsid w:val="00C72AB2"/>
    <w:rsid w:val="00C81612"/>
    <w:rsid w:val="00C847D3"/>
    <w:rsid w:val="00C97711"/>
    <w:rsid w:val="00C97912"/>
    <w:rsid w:val="00CB58D5"/>
    <w:rsid w:val="00CC0C51"/>
    <w:rsid w:val="00CD38D7"/>
    <w:rsid w:val="00CF5FFD"/>
    <w:rsid w:val="00D14EF5"/>
    <w:rsid w:val="00D31DA8"/>
    <w:rsid w:val="00D34291"/>
    <w:rsid w:val="00D348DF"/>
    <w:rsid w:val="00D355A1"/>
    <w:rsid w:val="00D46C01"/>
    <w:rsid w:val="00D676D8"/>
    <w:rsid w:val="00D812DA"/>
    <w:rsid w:val="00D81D8F"/>
    <w:rsid w:val="00D8552D"/>
    <w:rsid w:val="00D857D8"/>
    <w:rsid w:val="00D93F30"/>
    <w:rsid w:val="00D959FD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40288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00DD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A5EED"/>
    <w:rsid w:val="00FB25E0"/>
    <w:rsid w:val="00FD699D"/>
    <w:rsid w:val="00FE44A9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16FD-9793-4A32-B426-6224C3F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171</cp:revision>
  <cp:lastPrinted>2025-12-12T06:43:00Z</cp:lastPrinted>
  <dcterms:created xsi:type="dcterms:W3CDTF">2025-10-02T14:03:00Z</dcterms:created>
  <dcterms:modified xsi:type="dcterms:W3CDTF">2025-12-12T11:36:00Z</dcterms:modified>
</cp:coreProperties>
</file>