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-233680</wp:posOffset>
            </wp:positionV>
            <wp:extent cx="797560" cy="890905"/>
            <wp:effectExtent l="19050" t="0" r="254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9756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641C3">
        <w:rPr>
          <w:rFonts w:ascii="Segoe UI" w:hAnsi="Segoe UI"/>
          <w:b/>
          <w:sz w:val="32"/>
        </w:rPr>
        <w:t>10</w:t>
      </w:r>
      <w:proofErr w:type="gramEnd"/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B36C53" w:rsidRPr="00B36C53">
        <w:fldChar w:fldCharType="begin"/>
      </w:r>
      <w:r>
        <w:instrText>PAGE \* MERGEFORMAT</w:instrText>
      </w:r>
      <w:r w:rsidR="00B36C53" w:rsidRPr="00B36C53">
        <w:fldChar w:fldCharType="separate"/>
      </w:r>
      <w:r w:rsidR="008C6339" w:rsidRPr="008C6339">
        <w:rPr>
          <w:rFonts w:ascii="Segoe UI" w:hAnsi="Segoe UI"/>
          <w:b/>
          <w:noProof/>
          <w:vanish/>
          <w:sz w:val="32"/>
        </w:rPr>
        <w:t>1</w:t>
      </w:r>
      <w:r w:rsidR="00B36C53">
        <w:rPr>
          <w:rFonts w:ascii="Segoe UI" w:hAnsi="Segoe UI"/>
          <w:b/>
          <w:vanish/>
          <w:sz w:val="32"/>
        </w:rPr>
        <w:fldChar w:fldCharType="end"/>
      </w:r>
      <w:r w:rsidR="004B6C25">
        <w:rPr>
          <w:rFonts w:ascii="Segoe UI" w:hAnsi="Segoe UI"/>
          <w:b/>
          <w:sz w:val="32"/>
        </w:rPr>
        <w:t>.10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944DE2" w:rsidRPr="00944DE2" w:rsidRDefault="00944DE2" w:rsidP="00944DE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В Татарстане завершилось обследование  </w:t>
      </w:r>
      <w:r w:rsidRPr="00944DE2">
        <w:rPr>
          <w:rFonts w:ascii="Segoe UI" w:eastAsia="Times New Roman" w:hAnsi="Segoe UI" w:cs="Segoe UI"/>
          <w:b/>
          <w:color w:val="000000"/>
          <w:sz w:val="32"/>
          <w:szCs w:val="32"/>
        </w:rPr>
        <w:t>геодезических пунктов</w:t>
      </w:r>
      <w:r w:rsidR="00BA0330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в 2025 году</w:t>
      </w:r>
      <w:r w:rsidR="005C5B6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5C5B65" w:rsidRDefault="005C5B65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7E473C" w:rsidRDefault="00944DE2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В </w:t>
      </w:r>
      <w:r w:rsidR="00BA0330">
        <w:rPr>
          <w:rFonts w:ascii="Segoe UI" w:eastAsia="Times New Roman" w:hAnsi="Segoe UI" w:cs="Segoe UI"/>
          <w:color w:val="000000"/>
          <w:sz w:val="24"/>
          <w:szCs w:val="24"/>
        </w:rPr>
        <w:t>этом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году государственные инспекторы по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использованию и охране земель Управления </w:t>
      </w:r>
      <w:proofErr w:type="spellStart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обследовали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760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пунктов государственных геодезических сетей</w:t>
      </w:r>
      <w:r w:rsidR="007E473C">
        <w:rPr>
          <w:rFonts w:ascii="Segoe UI" w:eastAsia="Times New Roman" w:hAnsi="Segoe UI" w:cs="Segoe UI"/>
          <w:color w:val="000000"/>
          <w:sz w:val="24"/>
          <w:szCs w:val="24"/>
        </w:rPr>
        <w:t xml:space="preserve"> (ГГС)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7E473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7E473C" w:rsidRDefault="007E473C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Сохранение пунктов позволяет обеспечивать на территории республики единство измерений при геодезических и картографических работах. От полноты и качества геодезической основы зависит эффективность градостроительной, навигационной и кадастровой</w:t>
      </w:r>
      <w:r w:rsidR="00483E50">
        <w:rPr>
          <w:rFonts w:ascii="Segoe UI" w:eastAsia="Times New Roman" w:hAnsi="Segoe UI" w:cs="Segoe UI"/>
          <w:color w:val="000000"/>
          <w:sz w:val="24"/>
          <w:szCs w:val="24"/>
        </w:rPr>
        <w:t xml:space="preserve"> деятельности, землеустройства,</w:t>
      </w:r>
      <w:r w:rsidR="00483E50" w:rsidRPr="00483E50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proofErr w:type="spellStart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недропользования</w:t>
      </w:r>
      <w:proofErr w:type="spellEnd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, развития инф</w:t>
      </w:r>
      <w:r w:rsidR="00A56D2F">
        <w:rPr>
          <w:rFonts w:ascii="Segoe UI" w:eastAsia="Times New Roman" w:hAnsi="Segoe UI" w:cs="Segoe UI"/>
          <w:color w:val="000000"/>
          <w:sz w:val="24"/>
          <w:szCs w:val="24"/>
        </w:rPr>
        <w:t>раструктуры страны и обеспечения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обороны и безопасности государства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7E473C" w:rsidRDefault="007E473C" w:rsidP="007E473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пояснили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Росреестре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8C6339">
        <w:rPr>
          <w:rFonts w:ascii="Segoe UI" w:eastAsia="Times New Roman" w:hAnsi="Segoe UI" w:cs="Segoe UI"/>
          <w:color w:val="000000"/>
          <w:sz w:val="24"/>
          <w:szCs w:val="24"/>
        </w:rPr>
        <w:t xml:space="preserve">и </w:t>
      </w:r>
      <w:proofErr w:type="spellStart"/>
      <w:r w:rsidR="008C6339">
        <w:rPr>
          <w:rFonts w:ascii="Segoe UI" w:eastAsia="Times New Roman" w:hAnsi="Segoe UI" w:cs="Segoe UI"/>
          <w:color w:val="000000"/>
          <w:sz w:val="24"/>
          <w:szCs w:val="24"/>
        </w:rPr>
        <w:t>Роскадастре</w:t>
      </w:r>
      <w:proofErr w:type="spellEnd"/>
      <w:r w:rsidR="008C6339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Татарста</w:t>
      </w:r>
      <w:r w:rsidR="004D37E7">
        <w:rPr>
          <w:rFonts w:ascii="Segoe UI" w:eastAsia="Times New Roman" w:hAnsi="Segoe UI" w:cs="Segoe UI"/>
          <w:color w:val="000000"/>
          <w:sz w:val="24"/>
          <w:szCs w:val="24"/>
        </w:rPr>
        <w:t>н</w:t>
      </w:r>
      <w:r>
        <w:rPr>
          <w:rFonts w:ascii="Segoe UI" w:eastAsia="Times New Roman" w:hAnsi="Segoe UI" w:cs="Segoe UI"/>
          <w:color w:val="000000"/>
          <w:sz w:val="24"/>
          <w:szCs w:val="24"/>
        </w:rPr>
        <w:t>, м</w:t>
      </w:r>
      <w:r w:rsidR="00944DE2">
        <w:rPr>
          <w:rFonts w:ascii="Segoe UI" w:eastAsia="Times New Roman" w:hAnsi="Segoe UI" w:cs="Segoe UI"/>
          <w:color w:val="000000"/>
          <w:sz w:val="24"/>
          <w:szCs w:val="24"/>
        </w:rPr>
        <w:t>асштабная инвентаризация</w:t>
      </w:r>
      <w:r w:rsidR="00944DE2"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геодезических пунктов</w:t>
      </w:r>
      <w:r w:rsid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проводится ежегодно, во всех районах республики, а также в Казани. </w:t>
      </w:r>
      <w:r w:rsidR="00944DE2"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этом году из 760 пунктов ГГС 478 пунктов  в полной сохранности и без повреждений.  </w:t>
      </w:r>
    </w:p>
    <w:p w:rsidR="007E473C" w:rsidRPr="007E473C" w:rsidRDefault="007E473C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>«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Большинство пунктов ГГС </w:t>
      </w:r>
      <w:proofErr w:type="gramStart"/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>были заложен</w:t>
      </w:r>
      <w:r w:rsidR="00A56D2F">
        <w:rPr>
          <w:rFonts w:ascii="Segoe UI" w:eastAsia="Times New Roman" w:hAnsi="Segoe UI" w:cs="Segoe UI"/>
          <w:i/>
          <w:color w:val="000000"/>
          <w:sz w:val="24"/>
          <w:szCs w:val="24"/>
        </w:rPr>
        <w:t>ы в 50-70-х годах прошлого века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с каждым годом их становится</w:t>
      </w:r>
      <w:proofErr w:type="gramEnd"/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всё меньше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>. К сожалению, н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>е все понимают назначение и важность со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>хранения геодезических пунктов,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незнанию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они или их наружные знаки могут быть повреждены или даже </w:t>
      </w:r>
      <w:r w:rsidR="0038571E" w:rsidRP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уничтож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ены. Однако незнание, как известно, не освобождает от ответственности. </w:t>
      </w: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>Владельцы земельных участков, на которых расположены пункты ГГС, обязаны их сохранять и обеспечивать к ним доступ</w:t>
      </w:r>
      <w:r w:rsidR="0038571E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</w:t>
      </w:r>
      <w:r w:rsidRPr="007E473C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– отметил </w:t>
      </w:r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Линар</w:t>
      </w:r>
      <w:proofErr w:type="spellEnd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Гатин</w:t>
      </w:r>
      <w:proofErr w:type="spellEnd"/>
      <w:r w:rsidRPr="007E473C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</w:t>
      </w:r>
    </w:p>
    <w:p w:rsidR="00944DE2" w:rsidRPr="00944DE2" w:rsidRDefault="00944DE2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Законодательство обязывает землепользователей сохранять межевые, геодезические и другие специальные знаки, установленные на земельных участках. В случае повреждения или уничтожения пунктов государственной геодезической сети (ГГС) собственники земельных участков, на которых расположены эти пункты, а также лица, занимающиеся геодезическими и картографическими работами, обязаны уведомить филиал ППК «</w:t>
      </w:r>
      <w:proofErr w:type="spellStart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» по Республике </w:t>
      </w:r>
      <w:r w:rsidR="0038571E">
        <w:rPr>
          <w:rFonts w:ascii="Segoe UI" w:eastAsia="Times New Roman" w:hAnsi="Segoe UI" w:cs="Segoe UI"/>
          <w:color w:val="000000"/>
          <w:sz w:val="24"/>
          <w:szCs w:val="24"/>
        </w:rPr>
        <w:t>Татарстан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>. Сообщить о происшес</w:t>
      </w:r>
      <w:r w:rsidR="00A247D8">
        <w:rPr>
          <w:rFonts w:ascii="Segoe UI" w:eastAsia="Times New Roman" w:hAnsi="Segoe UI" w:cs="Segoe UI"/>
          <w:color w:val="000000"/>
          <w:sz w:val="24"/>
          <w:szCs w:val="24"/>
        </w:rPr>
        <w:t xml:space="preserve">твии можно по электронной почте </w:t>
      </w:r>
      <w:r w:rsidR="00A247D8" w:rsidRPr="00A247D8">
        <w:rPr>
          <w:rFonts w:ascii="Segoe UI" w:eastAsia="Times New Roman" w:hAnsi="Segoe UI" w:cs="Segoe UI"/>
          <w:color w:val="000000"/>
          <w:sz w:val="24"/>
          <w:szCs w:val="24"/>
        </w:rPr>
        <w:t>filial@16.kadastr.ru</w:t>
      </w:r>
      <w:r w:rsidRPr="00944DE2">
        <w:rPr>
          <w:rFonts w:ascii="Segoe UI" w:eastAsia="Times New Roman" w:hAnsi="Segoe UI" w:cs="Segoe UI"/>
          <w:color w:val="000000"/>
          <w:sz w:val="24"/>
          <w:szCs w:val="24"/>
        </w:rPr>
        <w:t xml:space="preserve">  или при личном визите. Информация должна быть подана в течение 15 календарных дней с момента обнаружения.</w:t>
      </w:r>
    </w:p>
    <w:p w:rsidR="00944DE2" w:rsidRPr="00A247D8" w:rsidRDefault="00A247D8" w:rsidP="00944DE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«Пункты ГГС относятся к федеральной собственности. В целях обеспечения плотности покрытия для выполнения геодезических наблюдений пункты могут размещаться как на объектах капитального строительства (зданиях, строениях, сооружениях), так и на земле. На 1 октября 2025 года </w:t>
      </w:r>
      <w:proofErr w:type="spellStart"/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ом</w:t>
      </w:r>
      <w:proofErr w:type="spellEnd"/>
      <w:r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</w:t>
      </w: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Республике Татарстан в реестр границ внесены сведения о 2351 охранной зоне пунктов ГГС, расположенных на территории </w:t>
      </w:r>
      <w:r>
        <w:rPr>
          <w:rFonts w:ascii="Segoe UI" w:eastAsia="Times New Roman" w:hAnsi="Segoe UI" w:cs="Segoe UI"/>
          <w:i/>
          <w:color w:val="000000"/>
          <w:sz w:val="24"/>
          <w:szCs w:val="24"/>
        </w:rPr>
        <w:t>нашего региона</w:t>
      </w:r>
      <w:r w:rsidRPr="00A247D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», - добавил </w:t>
      </w:r>
      <w:r w:rsidRPr="00A247D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исполняющий обязанности директора филиала ППК «</w:t>
      </w:r>
      <w:proofErr w:type="spellStart"/>
      <w:r w:rsidRPr="00A247D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A247D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» по Республике Татарстан Артур Егоров. </w:t>
      </w:r>
    </w:p>
    <w:p w:rsidR="00FA0740" w:rsidRDefault="00FA0740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B36C53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1148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5372"/>
    <w:rsid w:val="00093A52"/>
    <w:rsid w:val="000C094B"/>
    <w:rsid w:val="000D5EA1"/>
    <w:rsid w:val="001148B2"/>
    <w:rsid w:val="00126030"/>
    <w:rsid w:val="00132C48"/>
    <w:rsid w:val="00132EAC"/>
    <w:rsid w:val="00134D94"/>
    <w:rsid w:val="0016748D"/>
    <w:rsid w:val="00170A47"/>
    <w:rsid w:val="00184877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6AC2"/>
    <w:rsid w:val="0035766A"/>
    <w:rsid w:val="00366B60"/>
    <w:rsid w:val="0038113F"/>
    <w:rsid w:val="0038242B"/>
    <w:rsid w:val="0038571E"/>
    <w:rsid w:val="003932DA"/>
    <w:rsid w:val="003A2106"/>
    <w:rsid w:val="003A2822"/>
    <w:rsid w:val="003C1C1B"/>
    <w:rsid w:val="003D7FD6"/>
    <w:rsid w:val="003F6E78"/>
    <w:rsid w:val="00405056"/>
    <w:rsid w:val="00410E1B"/>
    <w:rsid w:val="00443EF8"/>
    <w:rsid w:val="00457245"/>
    <w:rsid w:val="00460D87"/>
    <w:rsid w:val="004637DF"/>
    <w:rsid w:val="00467186"/>
    <w:rsid w:val="00467666"/>
    <w:rsid w:val="004726C0"/>
    <w:rsid w:val="00475D03"/>
    <w:rsid w:val="00483E50"/>
    <w:rsid w:val="00495F25"/>
    <w:rsid w:val="004A2D32"/>
    <w:rsid w:val="004B4606"/>
    <w:rsid w:val="004B6C25"/>
    <w:rsid w:val="004C2A86"/>
    <w:rsid w:val="004D37E7"/>
    <w:rsid w:val="004E3D71"/>
    <w:rsid w:val="004F2E4C"/>
    <w:rsid w:val="00506DEB"/>
    <w:rsid w:val="00512F89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5B65"/>
    <w:rsid w:val="005C6D0D"/>
    <w:rsid w:val="005D5B7C"/>
    <w:rsid w:val="00615D13"/>
    <w:rsid w:val="00626449"/>
    <w:rsid w:val="006447BA"/>
    <w:rsid w:val="006675A0"/>
    <w:rsid w:val="00675901"/>
    <w:rsid w:val="00676EC1"/>
    <w:rsid w:val="0069315C"/>
    <w:rsid w:val="006B71A0"/>
    <w:rsid w:val="006D5BDF"/>
    <w:rsid w:val="006E0B1C"/>
    <w:rsid w:val="006E41D2"/>
    <w:rsid w:val="007011BC"/>
    <w:rsid w:val="00713E5D"/>
    <w:rsid w:val="00716DD7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E473C"/>
    <w:rsid w:val="007E6C02"/>
    <w:rsid w:val="007F09B3"/>
    <w:rsid w:val="00832B0E"/>
    <w:rsid w:val="008544B8"/>
    <w:rsid w:val="00865FA5"/>
    <w:rsid w:val="00883931"/>
    <w:rsid w:val="00883A49"/>
    <w:rsid w:val="0088449A"/>
    <w:rsid w:val="008C0FD4"/>
    <w:rsid w:val="008C5241"/>
    <w:rsid w:val="008C6339"/>
    <w:rsid w:val="008E0450"/>
    <w:rsid w:val="008E0629"/>
    <w:rsid w:val="009261F8"/>
    <w:rsid w:val="00933833"/>
    <w:rsid w:val="009345FE"/>
    <w:rsid w:val="009409D2"/>
    <w:rsid w:val="00944DE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BB1"/>
    <w:rsid w:val="00A14715"/>
    <w:rsid w:val="00A247D8"/>
    <w:rsid w:val="00A370AA"/>
    <w:rsid w:val="00A56D2F"/>
    <w:rsid w:val="00A641C3"/>
    <w:rsid w:val="00A67E43"/>
    <w:rsid w:val="00A77305"/>
    <w:rsid w:val="00A87B47"/>
    <w:rsid w:val="00AA63CC"/>
    <w:rsid w:val="00AE1E89"/>
    <w:rsid w:val="00AF0D74"/>
    <w:rsid w:val="00B10BF7"/>
    <w:rsid w:val="00B215C6"/>
    <w:rsid w:val="00B36C53"/>
    <w:rsid w:val="00B640A2"/>
    <w:rsid w:val="00B66F65"/>
    <w:rsid w:val="00B71BB1"/>
    <w:rsid w:val="00B821EF"/>
    <w:rsid w:val="00B874E2"/>
    <w:rsid w:val="00B9509C"/>
    <w:rsid w:val="00BA0330"/>
    <w:rsid w:val="00BB0B59"/>
    <w:rsid w:val="00BB1CC9"/>
    <w:rsid w:val="00BC2E26"/>
    <w:rsid w:val="00BE2869"/>
    <w:rsid w:val="00BE7FA8"/>
    <w:rsid w:val="00BF7E6E"/>
    <w:rsid w:val="00C11570"/>
    <w:rsid w:val="00C1412B"/>
    <w:rsid w:val="00C22F1F"/>
    <w:rsid w:val="00C25204"/>
    <w:rsid w:val="00C32F3B"/>
    <w:rsid w:val="00C345AB"/>
    <w:rsid w:val="00C60F78"/>
    <w:rsid w:val="00C97912"/>
    <w:rsid w:val="00CC0C51"/>
    <w:rsid w:val="00D14EF5"/>
    <w:rsid w:val="00D31DA8"/>
    <w:rsid w:val="00D46C01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2E7F"/>
    <w:rsid w:val="00E25EE0"/>
    <w:rsid w:val="00E3008F"/>
    <w:rsid w:val="00E30D7C"/>
    <w:rsid w:val="00E624A2"/>
    <w:rsid w:val="00E7453E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1350D"/>
    <w:rsid w:val="00F2678E"/>
    <w:rsid w:val="00F421A4"/>
    <w:rsid w:val="00F55E59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C718-D84F-4945-B4C8-E4A73FB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31</cp:revision>
  <cp:lastPrinted>2025-10-09T11:10:00Z</cp:lastPrinted>
  <dcterms:created xsi:type="dcterms:W3CDTF">2025-10-02T14:03:00Z</dcterms:created>
  <dcterms:modified xsi:type="dcterms:W3CDTF">2025-10-10T06:25:00Z</dcterms:modified>
</cp:coreProperties>
</file>