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FF" w:rsidRDefault="005678B3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-180975</wp:posOffset>
            </wp:positionV>
            <wp:extent cx="695325" cy="784225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95325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EFF" w:rsidRDefault="005678B3">
      <w:pPr>
        <w:spacing w:after="0" w:line="240" w:lineRule="atLeast"/>
        <w:jc w:val="right"/>
        <w:rPr>
          <w:rFonts w:ascii="Segoe UI" w:hAnsi="Segoe UI"/>
          <w:b/>
          <w:sz w:val="32"/>
        </w:rPr>
      </w:pPr>
      <w:proofErr w:type="gramStart"/>
      <w:r>
        <w:rPr>
          <w:rFonts w:ascii="Segoe UI" w:hAnsi="Segoe UI"/>
          <w:b/>
          <w:sz w:val="32"/>
        </w:rPr>
        <w:t>11</w:t>
      </w:r>
      <w:proofErr w:type="gramEnd"/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 w:rsidRPr="00704494">
        <w:fldChar w:fldCharType="begin"/>
      </w:r>
      <w:r>
        <w:instrText>PAGE \* MERGEFORMAT</w:instrText>
      </w:r>
      <w:r w:rsidR="00704494" w:rsidRP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.03.2025</w:t>
      </w:r>
    </w:p>
    <w:p w:rsidR="00010EFF" w:rsidRDefault="005678B3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10EFF" w:rsidRDefault="00010EFF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010EFF" w:rsidRDefault="00E13CC6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Более 19</w:t>
      </w:r>
      <w:r w:rsidR="005678B3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тысяч объектов оформлено в Татарстане </w:t>
      </w:r>
    </w:p>
    <w:p w:rsidR="00010EFF" w:rsidRDefault="005678B3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по «гаражной амнистии»</w:t>
      </w:r>
    </w:p>
    <w:p w:rsidR="00010EFF" w:rsidRDefault="00010EF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010EFF" w:rsidRDefault="005678B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За время действия «гаражной амнистии» с сентября 2021 года в регионе оформлено в упрощенном порядке </w:t>
      </w: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7,6 тыс.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гаражей</w:t>
      </w: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и 11, 2 тыс.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земельных участков под ними – всего порядка 19 тысяч объектов. </w:t>
      </w:r>
    </w:p>
    <w:p w:rsidR="00010EFF" w:rsidRDefault="005678B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Республика Татарстан занимает одну из лидирующих позиций в России по показателям зарегистрированных гаражей. Также больше всего гаражей зарегистрировали в Омской (12,6 тыс.), Московской (8 тыс.) и Тюменской областях (7,7 тыс.). </w:t>
      </w:r>
    </w:p>
    <w:p w:rsidR="00010EFF" w:rsidRDefault="005678B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По данным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Татарстана,</w:t>
      </w:r>
      <w:r w:rsidR="00E13CC6">
        <w:rPr>
          <w:rFonts w:ascii="Segoe UI" w:eastAsia="Times New Roman" w:hAnsi="Segoe UI" w:cs="Segoe UI"/>
          <w:color w:val="000000"/>
          <w:sz w:val="24"/>
          <w:szCs w:val="24"/>
        </w:rPr>
        <w:t xml:space="preserve"> за январь и февраль 2025 года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зарегистрировано 888 объектов гаражного назначения.</w:t>
      </w:r>
    </w:p>
    <w:p w:rsidR="00010EFF" w:rsidRDefault="005678B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«Жители Татарстана активно пользуются «гаражной амнистией». Только за 2024 год </w:t>
      </w:r>
      <w:proofErr w:type="spellStart"/>
      <w:r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Росреестром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зарегистрировано более 5,2 тысяч объектов, в том числе свыше 1,8 тысяч гаражей и 3,4 тысяч земельных участков. Учитывая социальную значимость закона, </w:t>
      </w:r>
      <w:proofErr w:type="spellStart"/>
      <w:r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предлагает продлить его действие. Напомню, в настоящее время оформить объекты в собственность по «гаражной амнистии» можно  до 1 сентября 2026 года», - сообщила </w:t>
      </w:r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и.о. начальника отдела государственной регистрации недвижимости Управления </w:t>
      </w:r>
      <w:proofErr w:type="spellStart"/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Светлана Потапова. </w:t>
      </w:r>
    </w:p>
    <w:p w:rsidR="00FD1872" w:rsidRPr="00BE2FBF" w:rsidRDefault="00BE2FBF" w:rsidP="00FD187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val="en-US"/>
        </w:rPr>
      </w:pPr>
      <w:proofErr w:type="spellStart"/>
      <w:r>
        <w:rPr>
          <w:rFonts w:ascii="Segoe UI" w:eastAsia="Times New Roman" w:hAnsi="Segoe UI" w:cs="Segoe UI"/>
          <w:b/>
          <w:color w:val="000000"/>
          <w:sz w:val="24"/>
          <w:szCs w:val="24"/>
        </w:rPr>
        <w:t>Справочно</w:t>
      </w:r>
      <w:proofErr w:type="spellEnd"/>
    </w:p>
    <w:p w:rsidR="00010EFF" w:rsidRDefault="00FD1872" w:rsidP="00FD187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="005678B3">
        <w:rPr>
          <w:rFonts w:ascii="Segoe UI" w:eastAsia="Times New Roman" w:hAnsi="Segoe UI" w:cs="Segoe UI"/>
          <w:color w:val="000000"/>
          <w:sz w:val="24"/>
          <w:szCs w:val="24"/>
        </w:rPr>
        <w:t xml:space="preserve">формить права в упрощенном порядке можно </w:t>
      </w:r>
      <w:r w:rsidR="00E13CC6">
        <w:rPr>
          <w:rFonts w:ascii="Segoe UI" w:eastAsia="Times New Roman" w:hAnsi="Segoe UI" w:cs="Segoe UI"/>
          <w:color w:val="000000"/>
          <w:sz w:val="24"/>
          <w:szCs w:val="24"/>
          <w:highlight w:val="white"/>
        </w:rPr>
        <w:t xml:space="preserve">на земельные участки </w:t>
      </w:r>
      <w:bookmarkStart w:id="0" w:name="_GoBack"/>
      <w:bookmarkEnd w:id="0"/>
      <w:r w:rsidR="005678B3">
        <w:rPr>
          <w:rFonts w:ascii="Segoe UI" w:eastAsia="Times New Roman" w:hAnsi="Segoe UI" w:cs="Segoe UI"/>
          <w:color w:val="000000"/>
          <w:sz w:val="24"/>
          <w:szCs w:val="24"/>
          <w:highlight w:val="white"/>
        </w:rPr>
        <w:t>и гаражи, которые были</w:t>
      </w:r>
      <w:r w:rsidR="005678B3">
        <w:rPr>
          <w:rFonts w:ascii="Segoe UI" w:eastAsia="Times New Roman" w:hAnsi="Segoe UI" w:cs="Segoe UI"/>
          <w:color w:val="000000"/>
          <w:sz w:val="24"/>
          <w:szCs w:val="24"/>
        </w:rPr>
        <w:t xml:space="preserve"> возведены до вступления в силу Градостроительного кодекса РФ (до 30 декабря 2004 года). </w:t>
      </w:r>
      <w:r w:rsidRPr="00E13CC6">
        <w:rPr>
          <w:rFonts w:ascii="Segoe UI" w:eastAsia="PT Serif Caption" w:hAnsi="Segoe UI" w:cs="Segoe UI"/>
          <w:color w:val="000000" w:themeColor="text1"/>
          <w:sz w:val="24"/>
          <w:szCs w:val="24"/>
          <w:highlight w:val="white"/>
        </w:rPr>
        <w:t>Если ранее упрощенный порядок регистрации распространялся только на одноэтажные </w:t>
      </w:r>
      <w:r w:rsidRPr="00E13CC6">
        <w:rPr>
          <w:rFonts w:ascii="Segoe UI" w:eastAsia="PT Serif Caption" w:hAnsi="Segoe UI" w:cs="Segoe UI"/>
          <w:b/>
          <w:color w:val="000000" w:themeColor="text1"/>
          <w:sz w:val="24"/>
          <w:szCs w:val="24"/>
          <w:highlight w:val="white"/>
        </w:rPr>
        <w:t>гаражи</w:t>
      </w:r>
      <w:r w:rsidRPr="00E13CC6">
        <w:rPr>
          <w:rFonts w:ascii="Segoe UI" w:eastAsia="PT Serif Caption" w:hAnsi="Segoe UI" w:cs="Segoe UI"/>
          <w:color w:val="000000" w:themeColor="text1"/>
          <w:sz w:val="24"/>
          <w:szCs w:val="24"/>
          <w:highlight w:val="white"/>
        </w:rPr>
        <w:t>  и землю под ними, то с ноября 2024 года  это право </w:t>
      </w:r>
      <w:r w:rsidRPr="00E13CC6">
        <w:rPr>
          <w:rFonts w:ascii="Segoe UI" w:eastAsia="PT Serif Caption" w:hAnsi="Segoe UI" w:cs="Segoe UI"/>
          <w:b/>
          <w:color w:val="000000" w:themeColor="text1"/>
          <w:sz w:val="24"/>
          <w:szCs w:val="24"/>
          <w:highlight w:val="white"/>
        </w:rPr>
        <w:t>получили</w:t>
      </w:r>
      <w:r w:rsidRPr="00E13CC6">
        <w:rPr>
          <w:rFonts w:ascii="Segoe UI" w:eastAsia="PT Serif Caption" w:hAnsi="Segoe UI" w:cs="Segoe UI"/>
          <w:color w:val="000000" w:themeColor="text1"/>
          <w:sz w:val="24"/>
          <w:szCs w:val="24"/>
          <w:highlight w:val="white"/>
        </w:rPr>
        <w:t> и владельцы </w:t>
      </w:r>
      <w:r w:rsidRPr="00E13CC6">
        <w:rPr>
          <w:rFonts w:ascii="Segoe UI" w:eastAsia="PT Serif Caption" w:hAnsi="Segoe UI" w:cs="Segoe UI"/>
          <w:b/>
          <w:color w:val="000000" w:themeColor="text1"/>
          <w:sz w:val="24"/>
          <w:szCs w:val="24"/>
          <w:highlight w:val="white"/>
        </w:rPr>
        <w:t>двухэтажных</w:t>
      </w:r>
      <w:r w:rsidRPr="00E13CC6">
        <w:rPr>
          <w:rFonts w:ascii="Segoe UI" w:eastAsia="PT Serif Caption" w:hAnsi="Segoe UI" w:cs="Segoe UI"/>
          <w:color w:val="000000" w:themeColor="text1"/>
          <w:sz w:val="24"/>
          <w:szCs w:val="24"/>
          <w:highlight w:val="white"/>
        </w:rPr>
        <w:t> </w:t>
      </w:r>
      <w:r w:rsidRPr="00E13CC6">
        <w:rPr>
          <w:rFonts w:ascii="Segoe UI" w:eastAsia="PT Serif Caption" w:hAnsi="Segoe UI" w:cs="Segoe UI"/>
          <w:b/>
          <w:color w:val="000000" w:themeColor="text1"/>
          <w:sz w:val="24"/>
          <w:szCs w:val="24"/>
          <w:highlight w:val="white"/>
        </w:rPr>
        <w:t>гаражей</w:t>
      </w:r>
      <w:r w:rsidRPr="00E13CC6">
        <w:rPr>
          <w:rFonts w:ascii="Segoe UI" w:eastAsia="PT Serif Caption" w:hAnsi="Segoe UI" w:cs="Segoe UI"/>
          <w:color w:val="000000" w:themeColor="text1"/>
          <w:sz w:val="24"/>
          <w:szCs w:val="24"/>
        </w:rPr>
        <w:t>.</w:t>
      </w:r>
      <w:r>
        <w:rPr>
          <w:rFonts w:ascii="Segoe UI" w:eastAsia="PT Serif Caption" w:hAnsi="Segoe UI" w:cs="Segoe UI"/>
          <w:color w:val="000000" w:themeColor="text1"/>
          <w:sz w:val="24"/>
          <w:szCs w:val="24"/>
        </w:rPr>
        <w:t xml:space="preserve"> </w:t>
      </w:r>
      <w:r w:rsidR="005678B3">
        <w:rPr>
          <w:rFonts w:ascii="Segoe UI" w:eastAsia="Times New Roman" w:hAnsi="Segoe UI" w:cs="Segoe UI"/>
          <w:color w:val="000000"/>
          <w:sz w:val="24"/>
          <w:szCs w:val="24"/>
        </w:rPr>
        <w:t>«Гаражная амнистия» не распространяется на самовольные постройки, подлежащие сносу, гаражи, входящие в состав многоквартирных домов, и гаражи, построенные после 30 декабря 2004 года.</w:t>
      </w:r>
    </w:p>
    <w:p w:rsidR="00010EFF" w:rsidRDefault="00010EF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Pr="00E13CC6" w:rsidRDefault="00010EFF">
      <w:pPr>
        <w:spacing w:after="0" w:line="240" w:lineRule="atLeast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5678B3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010EFF" w:rsidRDefault="005678B3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010EFF" w:rsidRDefault="005678B3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010EFF" w:rsidRDefault="00704494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9" w:tooltip="https://rosreestr.tatarstan.ru" w:history="1">
        <w:r w:rsidR="005678B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010EFF" w:rsidRDefault="005678B3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10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010EFF" w:rsidSect="008E6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8B3" w:rsidRDefault="005678B3">
      <w:pPr>
        <w:spacing w:after="0" w:line="240" w:lineRule="auto"/>
      </w:pPr>
      <w:r>
        <w:separator/>
      </w:r>
    </w:p>
  </w:endnote>
  <w:endnote w:type="continuationSeparator" w:id="1">
    <w:p w:rsidR="005678B3" w:rsidRDefault="0056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 Caption">
    <w:altName w:val="Lucida Fax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8B3" w:rsidRDefault="005678B3">
      <w:pPr>
        <w:spacing w:after="0" w:line="240" w:lineRule="auto"/>
      </w:pPr>
      <w:r>
        <w:separator/>
      </w:r>
    </w:p>
  </w:footnote>
  <w:footnote w:type="continuationSeparator" w:id="1">
    <w:p w:rsidR="005678B3" w:rsidRDefault="00567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A44F7"/>
    <w:multiLevelType w:val="hybridMultilevel"/>
    <w:tmpl w:val="E9FE3B08"/>
    <w:lvl w:ilvl="0" w:tplc="FAC03422">
      <w:start w:val="6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83D4D932">
      <w:start w:val="1"/>
      <w:numFmt w:val="lowerLetter"/>
      <w:lvlText w:val="%2."/>
      <w:lvlJc w:val="left"/>
      <w:pPr>
        <w:ind w:left="2148" w:hanging="360"/>
      </w:pPr>
    </w:lvl>
    <w:lvl w:ilvl="2" w:tplc="D98EB86E">
      <w:start w:val="1"/>
      <w:numFmt w:val="lowerRoman"/>
      <w:lvlText w:val="%3."/>
      <w:lvlJc w:val="right"/>
      <w:pPr>
        <w:ind w:left="2868" w:hanging="180"/>
      </w:pPr>
    </w:lvl>
    <w:lvl w:ilvl="3" w:tplc="D8584E78">
      <w:start w:val="1"/>
      <w:numFmt w:val="decimal"/>
      <w:lvlText w:val="%4."/>
      <w:lvlJc w:val="left"/>
      <w:pPr>
        <w:ind w:left="3588" w:hanging="360"/>
      </w:pPr>
    </w:lvl>
    <w:lvl w:ilvl="4" w:tplc="A36873A4">
      <w:start w:val="1"/>
      <w:numFmt w:val="lowerLetter"/>
      <w:lvlText w:val="%5."/>
      <w:lvlJc w:val="left"/>
      <w:pPr>
        <w:ind w:left="4308" w:hanging="360"/>
      </w:pPr>
    </w:lvl>
    <w:lvl w:ilvl="5" w:tplc="B4CCA9A2">
      <w:start w:val="1"/>
      <w:numFmt w:val="lowerRoman"/>
      <w:lvlText w:val="%6."/>
      <w:lvlJc w:val="right"/>
      <w:pPr>
        <w:ind w:left="5028" w:hanging="180"/>
      </w:pPr>
    </w:lvl>
    <w:lvl w:ilvl="6" w:tplc="1CA4455E">
      <w:start w:val="1"/>
      <w:numFmt w:val="decimal"/>
      <w:lvlText w:val="%7."/>
      <w:lvlJc w:val="left"/>
      <w:pPr>
        <w:ind w:left="5748" w:hanging="360"/>
      </w:pPr>
    </w:lvl>
    <w:lvl w:ilvl="7" w:tplc="B4F6CCCE">
      <w:start w:val="1"/>
      <w:numFmt w:val="lowerLetter"/>
      <w:lvlText w:val="%8."/>
      <w:lvlJc w:val="left"/>
      <w:pPr>
        <w:ind w:left="6468" w:hanging="360"/>
      </w:pPr>
    </w:lvl>
    <w:lvl w:ilvl="8" w:tplc="B2DE72DA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3D81020"/>
    <w:multiLevelType w:val="hybridMultilevel"/>
    <w:tmpl w:val="8BE4325C"/>
    <w:lvl w:ilvl="0" w:tplc="73C4B9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2A686E0">
      <w:start w:val="1"/>
      <w:numFmt w:val="lowerLetter"/>
      <w:lvlText w:val="%2."/>
      <w:lvlJc w:val="left"/>
      <w:pPr>
        <w:ind w:left="1788" w:hanging="360"/>
      </w:pPr>
    </w:lvl>
    <w:lvl w:ilvl="2" w:tplc="E1AC41B4">
      <w:start w:val="1"/>
      <w:numFmt w:val="lowerRoman"/>
      <w:lvlText w:val="%3."/>
      <w:lvlJc w:val="right"/>
      <w:pPr>
        <w:ind w:left="2508" w:hanging="180"/>
      </w:pPr>
    </w:lvl>
    <w:lvl w:ilvl="3" w:tplc="FBCC466C">
      <w:start w:val="1"/>
      <w:numFmt w:val="decimal"/>
      <w:lvlText w:val="%4."/>
      <w:lvlJc w:val="left"/>
      <w:pPr>
        <w:ind w:left="3228" w:hanging="360"/>
      </w:pPr>
    </w:lvl>
    <w:lvl w:ilvl="4" w:tplc="1AA0DD28">
      <w:start w:val="1"/>
      <w:numFmt w:val="lowerLetter"/>
      <w:lvlText w:val="%5."/>
      <w:lvlJc w:val="left"/>
      <w:pPr>
        <w:ind w:left="3948" w:hanging="360"/>
      </w:pPr>
    </w:lvl>
    <w:lvl w:ilvl="5" w:tplc="D0784378">
      <w:start w:val="1"/>
      <w:numFmt w:val="lowerRoman"/>
      <w:lvlText w:val="%6."/>
      <w:lvlJc w:val="right"/>
      <w:pPr>
        <w:ind w:left="4668" w:hanging="180"/>
      </w:pPr>
    </w:lvl>
    <w:lvl w:ilvl="6" w:tplc="E5EE985E">
      <w:start w:val="1"/>
      <w:numFmt w:val="decimal"/>
      <w:lvlText w:val="%7."/>
      <w:lvlJc w:val="left"/>
      <w:pPr>
        <w:ind w:left="5388" w:hanging="360"/>
      </w:pPr>
    </w:lvl>
    <w:lvl w:ilvl="7" w:tplc="CB60C846">
      <w:start w:val="1"/>
      <w:numFmt w:val="lowerLetter"/>
      <w:lvlText w:val="%8."/>
      <w:lvlJc w:val="left"/>
      <w:pPr>
        <w:ind w:left="6108" w:hanging="360"/>
      </w:pPr>
    </w:lvl>
    <w:lvl w:ilvl="8" w:tplc="D83610A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E65D8B"/>
    <w:multiLevelType w:val="hybridMultilevel"/>
    <w:tmpl w:val="C36EEDCE"/>
    <w:lvl w:ilvl="0" w:tplc="B0E23A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8B4A9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5945B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36FB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C76ED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729B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6A46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3E8A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66462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F723A5"/>
    <w:multiLevelType w:val="hybridMultilevel"/>
    <w:tmpl w:val="2E827742"/>
    <w:lvl w:ilvl="0" w:tplc="C512F94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3C9C84AA">
      <w:start w:val="1"/>
      <w:numFmt w:val="lowerLetter"/>
      <w:lvlText w:val="%2."/>
      <w:lvlJc w:val="left"/>
      <w:pPr>
        <w:ind w:left="2148" w:hanging="360"/>
      </w:pPr>
    </w:lvl>
    <w:lvl w:ilvl="2" w:tplc="0D98BF42">
      <w:start w:val="1"/>
      <w:numFmt w:val="lowerRoman"/>
      <w:lvlText w:val="%3."/>
      <w:lvlJc w:val="right"/>
      <w:pPr>
        <w:ind w:left="2868" w:hanging="180"/>
      </w:pPr>
    </w:lvl>
    <w:lvl w:ilvl="3" w:tplc="FCE448E8">
      <w:start w:val="1"/>
      <w:numFmt w:val="decimal"/>
      <w:lvlText w:val="%4."/>
      <w:lvlJc w:val="left"/>
      <w:pPr>
        <w:ind w:left="3588" w:hanging="360"/>
      </w:pPr>
    </w:lvl>
    <w:lvl w:ilvl="4" w:tplc="664E298C">
      <w:start w:val="1"/>
      <w:numFmt w:val="lowerLetter"/>
      <w:lvlText w:val="%5."/>
      <w:lvlJc w:val="left"/>
      <w:pPr>
        <w:ind w:left="4308" w:hanging="360"/>
      </w:pPr>
    </w:lvl>
    <w:lvl w:ilvl="5" w:tplc="584E128C">
      <w:start w:val="1"/>
      <w:numFmt w:val="lowerRoman"/>
      <w:lvlText w:val="%6."/>
      <w:lvlJc w:val="right"/>
      <w:pPr>
        <w:ind w:left="5028" w:hanging="180"/>
      </w:pPr>
    </w:lvl>
    <w:lvl w:ilvl="6" w:tplc="D1148A0C">
      <w:start w:val="1"/>
      <w:numFmt w:val="decimal"/>
      <w:lvlText w:val="%7."/>
      <w:lvlJc w:val="left"/>
      <w:pPr>
        <w:ind w:left="5748" w:hanging="360"/>
      </w:pPr>
    </w:lvl>
    <w:lvl w:ilvl="7" w:tplc="5D0E6744">
      <w:start w:val="1"/>
      <w:numFmt w:val="lowerLetter"/>
      <w:lvlText w:val="%8."/>
      <w:lvlJc w:val="left"/>
      <w:pPr>
        <w:ind w:left="6468" w:hanging="360"/>
      </w:pPr>
    </w:lvl>
    <w:lvl w:ilvl="8" w:tplc="2FB0FD84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8935A90"/>
    <w:multiLevelType w:val="hybridMultilevel"/>
    <w:tmpl w:val="1D10452C"/>
    <w:lvl w:ilvl="0" w:tplc="3B6616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2DA515E">
      <w:start w:val="1"/>
      <w:numFmt w:val="lowerLetter"/>
      <w:lvlText w:val="%2."/>
      <w:lvlJc w:val="left"/>
      <w:pPr>
        <w:ind w:left="1440" w:hanging="360"/>
      </w:pPr>
    </w:lvl>
    <w:lvl w:ilvl="2" w:tplc="12267B74">
      <w:start w:val="1"/>
      <w:numFmt w:val="lowerRoman"/>
      <w:lvlText w:val="%3."/>
      <w:lvlJc w:val="right"/>
      <w:pPr>
        <w:ind w:left="2160" w:hanging="180"/>
      </w:pPr>
    </w:lvl>
    <w:lvl w:ilvl="3" w:tplc="713A5DD0">
      <w:start w:val="1"/>
      <w:numFmt w:val="decimal"/>
      <w:lvlText w:val="%4."/>
      <w:lvlJc w:val="left"/>
      <w:pPr>
        <w:ind w:left="2880" w:hanging="360"/>
      </w:pPr>
    </w:lvl>
    <w:lvl w:ilvl="4" w:tplc="633EC8AA">
      <w:start w:val="1"/>
      <w:numFmt w:val="lowerLetter"/>
      <w:lvlText w:val="%5."/>
      <w:lvlJc w:val="left"/>
      <w:pPr>
        <w:ind w:left="3600" w:hanging="360"/>
      </w:pPr>
    </w:lvl>
    <w:lvl w:ilvl="5" w:tplc="9B80EA96">
      <w:start w:val="1"/>
      <w:numFmt w:val="lowerRoman"/>
      <w:lvlText w:val="%6."/>
      <w:lvlJc w:val="right"/>
      <w:pPr>
        <w:ind w:left="4320" w:hanging="180"/>
      </w:pPr>
    </w:lvl>
    <w:lvl w:ilvl="6" w:tplc="0F4E60E4">
      <w:start w:val="1"/>
      <w:numFmt w:val="decimal"/>
      <w:lvlText w:val="%7."/>
      <w:lvlJc w:val="left"/>
      <w:pPr>
        <w:ind w:left="5040" w:hanging="360"/>
      </w:pPr>
    </w:lvl>
    <w:lvl w:ilvl="7" w:tplc="A558CA7A">
      <w:start w:val="1"/>
      <w:numFmt w:val="lowerLetter"/>
      <w:lvlText w:val="%8."/>
      <w:lvlJc w:val="left"/>
      <w:pPr>
        <w:ind w:left="5760" w:hanging="360"/>
      </w:pPr>
    </w:lvl>
    <w:lvl w:ilvl="8" w:tplc="3A7AC4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0EFF"/>
    <w:rsid w:val="00010EFF"/>
    <w:rsid w:val="005678B3"/>
    <w:rsid w:val="005E5FF1"/>
    <w:rsid w:val="00704494"/>
    <w:rsid w:val="008E67E5"/>
    <w:rsid w:val="00BE2FBF"/>
    <w:rsid w:val="00E13CC6"/>
    <w:rsid w:val="00EF1D89"/>
    <w:rsid w:val="00F210F8"/>
    <w:rsid w:val="00FD1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E5"/>
  </w:style>
  <w:style w:type="paragraph" w:styleId="1">
    <w:name w:val="heading 1"/>
    <w:basedOn w:val="a"/>
    <w:next w:val="a"/>
    <w:link w:val="10"/>
    <w:uiPriority w:val="9"/>
    <w:qFormat/>
    <w:rsid w:val="008E67E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E67E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E67E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E67E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E67E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E67E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E67E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E67E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E67E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7E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E67E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E67E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E67E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E67E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E67E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E67E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E67E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E67E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E67E5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8E67E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E67E5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7E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E67E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E67E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E67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E67E5"/>
    <w:rPr>
      <w:i/>
    </w:rPr>
  </w:style>
  <w:style w:type="paragraph" w:styleId="a9">
    <w:name w:val="header"/>
    <w:basedOn w:val="a"/>
    <w:link w:val="aa"/>
    <w:uiPriority w:val="99"/>
    <w:unhideWhenUsed/>
    <w:rsid w:val="008E67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67E5"/>
  </w:style>
  <w:style w:type="paragraph" w:styleId="ab">
    <w:name w:val="footer"/>
    <w:basedOn w:val="a"/>
    <w:link w:val="ac"/>
    <w:uiPriority w:val="99"/>
    <w:unhideWhenUsed/>
    <w:rsid w:val="008E67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E67E5"/>
  </w:style>
  <w:style w:type="paragraph" w:styleId="ad">
    <w:name w:val="caption"/>
    <w:basedOn w:val="a"/>
    <w:next w:val="a"/>
    <w:uiPriority w:val="35"/>
    <w:semiHidden/>
    <w:unhideWhenUsed/>
    <w:qFormat/>
    <w:rsid w:val="008E67E5"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8E67E5"/>
  </w:style>
  <w:style w:type="table" w:styleId="ae">
    <w:name w:val="Table Grid"/>
    <w:basedOn w:val="a1"/>
    <w:uiPriority w:val="59"/>
    <w:rsid w:val="008E67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E67E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E67E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E6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E67E5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8E67E5"/>
    <w:rPr>
      <w:sz w:val="18"/>
    </w:rPr>
  </w:style>
  <w:style w:type="character" w:styleId="af1">
    <w:name w:val="footnote reference"/>
    <w:basedOn w:val="a0"/>
    <w:uiPriority w:val="99"/>
    <w:unhideWhenUsed/>
    <w:rsid w:val="008E67E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E67E5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8E67E5"/>
    <w:rPr>
      <w:sz w:val="20"/>
    </w:rPr>
  </w:style>
  <w:style w:type="character" w:styleId="af4">
    <w:name w:val="endnote reference"/>
    <w:basedOn w:val="a0"/>
    <w:uiPriority w:val="99"/>
    <w:semiHidden/>
    <w:unhideWhenUsed/>
    <w:rsid w:val="008E67E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E67E5"/>
    <w:pPr>
      <w:spacing w:after="57"/>
    </w:pPr>
  </w:style>
  <w:style w:type="paragraph" w:styleId="23">
    <w:name w:val="toc 2"/>
    <w:basedOn w:val="a"/>
    <w:next w:val="a"/>
    <w:uiPriority w:val="39"/>
    <w:unhideWhenUsed/>
    <w:rsid w:val="008E67E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E67E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E67E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E67E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E67E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E67E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E67E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E67E5"/>
    <w:pPr>
      <w:spacing w:after="57"/>
      <w:ind w:left="2268"/>
    </w:pPr>
  </w:style>
  <w:style w:type="paragraph" w:styleId="af5">
    <w:name w:val="TOC Heading"/>
    <w:uiPriority w:val="39"/>
    <w:unhideWhenUsed/>
    <w:rsid w:val="008E67E5"/>
  </w:style>
  <w:style w:type="paragraph" w:styleId="af6">
    <w:name w:val="table of figures"/>
    <w:basedOn w:val="a"/>
    <w:next w:val="a"/>
    <w:uiPriority w:val="99"/>
    <w:unhideWhenUsed/>
    <w:rsid w:val="008E67E5"/>
    <w:pPr>
      <w:spacing w:after="0"/>
    </w:pPr>
  </w:style>
  <w:style w:type="character" w:styleId="af7">
    <w:name w:val="Hyperlink"/>
    <w:basedOn w:val="a0"/>
    <w:uiPriority w:val="99"/>
    <w:unhideWhenUsed/>
    <w:rsid w:val="008E67E5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8E67E5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8E6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 Spacing"/>
    <w:uiPriority w:val="1"/>
    <w:qFormat/>
    <w:rsid w:val="008E67E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rosreestr_tatar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D60-9F7C-4D2E-A899-6313E83E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144</cp:revision>
  <cp:lastPrinted>2025-03-11T08:56:00Z</cp:lastPrinted>
  <dcterms:created xsi:type="dcterms:W3CDTF">2024-11-20T09:25:00Z</dcterms:created>
  <dcterms:modified xsi:type="dcterms:W3CDTF">2025-03-11T09:54:00Z</dcterms:modified>
</cp:coreProperties>
</file>