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FE1B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70308D" w:rsidRDefault="0070308D" w:rsidP="0070308D">
      <w:pPr>
        <w:rPr>
          <w:sz w:val="20"/>
          <w:szCs w:val="20"/>
          <w:lang w:val="tt-RU"/>
        </w:rPr>
      </w:pPr>
      <w:r w:rsidRPr="0070308D">
        <w:rPr>
          <w:sz w:val="28"/>
          <w:lang w:val="tt-RU"/>
        </w:rPr>
        <w:t xml:space="preserve">                      </w:t>
      </w:r>
      <w:r w:rsidR="00795D9B">
        <w:rPr>
          <w:sz w:val="28"/>
          <w:lang w:val="tt-RU"/>
        </w:rPr>
        <w:t xml:space="preserve">    </w:t>
      </w:r>
      <w:r w:rsidR="00E15620">
        <w:rPr>
          <w:sz w:val="28"/>
          <w:lang w:val="tt-RU"/>
        </w:rPr>
        <w:t xml:space="preserve"> </w:t>
      </w:r>
      <w:r w:rsidR="00A939CC">
        <w:rPr>
          <w:sz w:val="20"/>
          <w:szCs w:val="20"/>
          <w:lang w:val="tt-RU"/>
        </w:rPr>
        <w:t>_________</w:t>
      </w:r>
      <w:r w:rsidR="00E15620">
        <w:rPr>
          <w:sz w:val="28"/>
          <w:lang w:val="tt-RU"/>
        </w:rPr>
        <w:t xml:space="preserve">      </w:t>
      </w:r>
      <w:r w:rsidR="00E15620" w:rsidRPr="00E15620">
        <w:rPr>
          <w:sz w:val="20"/>
          <w:szCs w:val="20"/>
          <w:lang w:val="tt-RU"/>
        </w:rPr>
        <w:t xml:space="preserve"> </w:t>
      </w:r>
      <w:r w:rsidR="00795D9B">
        <w:rPr>
          <w:sz w:val="28"/>
          <w:lang w:val="tt-RU"/>
        </w:rPr>
        <w:t xml:space="preserve">          </w:t>
      </w:r>
      <w:r w:rsidRPr="0070308D">
        <w:rPr>
          <w:sz w:val="28"/>
          <w:lang w:val="tt-RU"/>
        </w:rPr>
        <w:t xml:space="preserve"> </w:t>
      </w:r>
      <w:r w:rsidRPr="0070308D">
        <w:rPr>
          <w:sz w:val="20"/>
          <w:szCs w:val="20"/>
          <w:lang w:val="tt-RU"/>
        </w:rPr>
        <w:t>пгт. Рыбная Слобо</w:t>
      </w:r>
      <w:r w:rsidR="00AD7C9A">
        <w:rPr>
          <w:sz w:val="20"/>
          <w:szCs w:val="20"/>
          <w:lang w:val="tt-RU"/>
        </w:rPr>
        <w:t xml:space="preserve">да                      </w:t>
      </w:r>
      <w:r w:rsidR="00795D9B">
        <w:rPr>
          <w:sz w:val="20"/>
          <w:szCs w:val="20"/>
          <w:lang w:val="tt-RU"/>
        </w:rPr>
        <w:t xml:space="preserve">   </w:t>
      </w:r>
      <w:r w:rsidR="00AD7C9A">
        <w:rPr>
          <w:sz w:val="20"/>
          <w:szCs w:val="20"/>
          <w:lang w:val="tt-RU"/>
        </w:rPr>
        <w:t xml:space="preserve"> № </w:t>
      </w:r>
      <w:r w:rsidR="00A939CC">
        <w:rPr>
          <w:sz w:val="20"/>
          <w:szCs w:val="20"/>
          <w:lang w:val="tt-RU"/>
        </w:rPr>
        <w:t>____</w:t>
      </w:r>
      <w:r w:rsidR="00795D9B">
        <w:rPr>
          <w:sz w:val="20"/>
          <w:szCs w:val="20"/>
          <w:lang w:val="tt-RU"/>
        </w:rPr>
        <w:t>пи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9" w:history="1">
        <w:r w:rsidR="0042599F" w:rsidRPr="002D5BC5">
          <w:rPr>
            <w:sz w:val="28"/>
            <w:szCs w:val="28"/>
          </w:rPr>
          <w:t xml:space="preserve">от </w:t>
        </w:r>
        <w:r w:rsidR="004E57A3">
          <w:rPr>
            <w:sz w:val="28"/>
            <w:szCs w:val="28"/>
          </w:rPr>
          <w:t>17</w:t>
        </w:r>
        <w:r w:rsidR="0042599F" w:rsidRPr="002D5BC5">
          <w:rPr>
            <w:sz w:val="28"/>
            <w:szCs w:val="28"/>
          </w:rPr>
          <w:t>.0</w:t>
        </w:r>
        <w:r w:rsidR="004E57A3">
          <w:rPr>
            <w:sz w:val="28"/>
            <w:szCs w:val="28"/>
          </w:rPr>
          <w:t>1</w:t>
        </w:r>
        <w:r w:rsidR="0042599F" w:rsidRPr="002D5BC5">
          <w:rPr>
            <w:sz w:val="28"/>
            <w:szCs w:val="28"/>
          </w:rPr>
          <w:t>.202</w:t>
        </w:r>
        <w:r w:rsidR="004E57A3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 xml:space="preserve"> № </w:t>
        </w:r>
        <w:r w:rsidR="004E57A3">
          <w:rPr>
            <w:sz w:val="28"/>
            <w:szCs w:val="28"/>
          </w:rPr>
          <w:t>55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4E57A3">
        <w:rPr>
          <w:b w:val="0"/>
          <w:szCs w:val="28"/>
        </w:rPr>
        <w:t>, от 13.03.2023 №72пи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636CBA" w:rsidRDefault="00F9090E" w:rsidP="006C4291">
      <w:pPr>
        <w:pStyle w:val="af2"/>
        <w:numPr>
          <w:ilvl w:val="1"/>
          <w:numId w:val="14"/>
        </w:numPr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636CBA">
        <w:rPr>
          <w:rFonts w:ascii="Times New Roman" w:eastAsia="Calibri" w:hAnsi="Times New Roman"/>
          <w:sz w:val="28"/>
          <w:szCs w:val="28"/>
        </w:rPr>
        <w:t>Паспорте Программы в пункте</w:t>
      </w:r>
      <w:r>
        <w:rPr>
          <w:rFonts w:ascii="Times New Roman" w:eastAsia="Calibri" w:hAnsi="Times New Roman"/>
          <w:sz w:val="28"/>
          <w:szCs w:val="28"/>
        </w:rPr>
        <w:t xml:space="preserve"> «Источники финансирования Программы»</w:t>
      </w:r>
      <w:r w:rsidR="00636CBA">
        <w:rPr>
          <w:rFonts w:ascii="Times New Roman" w:eastAsia="Calibri" w:hAnsi="Times New Roman"/>
          <w:sz w:val="28"/>
          <w:szCs w:val="28"/>
        </w:rPr>
        <w:t>:</w:t>
      </w:r>
    </w:p>
    <w:p w:rsidR="00F9090E" w:rsidRDefault="002E1001" w:rsidP="006C4291">
      <w:pPr>
        <w:pStyle w:val="af2"/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2E1001">
        <w:rPr>
          <w:rFonts w:ascii="Times New Roman" w:eastAsia="Calibri" w:hAnsi="Times New Roman"/>
          <w:sz w:val="28"/>
          <w:szCs w:val="28"/>
        </w:rPr>
        <w:t>Общий объем финансирования Программы составляет</w:t>
      </w:r>
      <w:r w:rsidR="000D108A">
        <w:rPr>
          <w:rFonts w:ascii="Times New Roman" w:eastAsia="Calibri" w:hAnsi="Times New Roman"/>
          <w:sz w:val="28"/>
          <w:szCs w:val="28"/>
        </w:rPr>
        <w:t xml:space="preserve"> </w:t>
      </w:r>
      <w:r w:rsidR="00D85C85">
        <w:rPr>
          <w:rFonts w:ascii="Times New Roman" w:eastAsia="Calibri" w:hAnsi="Times New Roman"/>
          <w:sz w:val="28"/>
          <w:szCs w:val="28"/>
        </w:rPr>
        <w:t>14101,63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D85C85">
        <w:rPr>
          <w:rFonts w:ascii="Times New Roman" w:eastAsia="Calibri" w:hAnsi="Times New Roman"/>
          <w:sz w:val="28"/>
          <w:szCs w:val="28"/>
        </w:rPr>
        <w:t>5550,53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 xml:space="preserve">составляет </w:t>
      </w:r>
      <w:r w:rsidR="00A70B25">
        <w:rPr>
          <w:rFonts w:ascii="Times New Roman" w:eastAsia="Calibri" w:hAnsi="Times New Roman"/>
          <w:sz w:val="28"/>
          <w:szCs w:val="28"/>
        </w:rPr>
        <w:t>14276,78</w:t>
      </w:r>
      <w:r w:rsidR="006F673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A70B25">
        <w:rPr>
          <w:rFonts w:ascii="Times New Roman" w:eastAsia="Calibri" w:hAnsi="Times New Roman"/>
          <w:sz w:val="28"/>
          <w:szCs w:val="28"/>
        </w:rPr>
        <w:t>5551,78</w:t>
      </w:r>
      <w:r w:rsidR="009A5124" w:rsidRPr="009A5124">
        <w:rPr>
          <w:rFonts w:ascii="Times New Roman" w:eastAsia="Calibri" w:hAnsi="Times New Roman"/>
          <w:sz w:val="28"/>
          <w:szCs w:val="28"/>
        </w:rPr>
        <w:t xml:space="preserve"> </w:t>
      </w:r>
      <w:r w:rsidR="007500CA">
        <w:rPr>
          <w:rFonts w:ascii="Times New Roman" w:eastAsia="Calibri" w:hAnsi="Times New Roman"/>
          <w:sz w:val="28"/>
          <w:szCs w:val="28"/>
        </w:rPr>
        <w:t xml:space="preserve">тыс. </w:t>
      </w:r>
      <w:r w:rsidRPr="002E1001">
        <w:rPr>
          <w:rFonts w:ascii="Times New Roman" w:eastAsia="Calibri" w:hAnsi="Times New Roman"/>
          <w:sz w:val="28"/>
          <w:szCs w:val="28"/>
        </w:rPr>
        <w:t>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636CBA" w:rsidRDefault="00852AA5" w:rsidP="006C4291">
      <w:pPr>
        <w:pStyle w:val="af2"/>
        <w:tabs>
          <w:tab w:val="left" w:pos="1134"/>
        </w:tabs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«2024</w:t>
      </w:r>
      <w:r w:rsidR="006F673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 w:rsidR="00494A41">
        <w:rPr>
          <w:rFonts w:ascii="Times New Roman" w:eastAsia="Calibri" w:hAnsi="Times New Roman"/>
          <w:sz w:val="28"/>
          <w:szCs w:val="28"/>
        </w:rPr>
        <w:t xml:space="preserve"> «1244,95</w:t>
      </w:r>
      <w:r w:rsidR="002E1001"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 w:rsidR="002E1001">
        <w:rPr>
          <w:rFonts w:ascii="Times New Roman" w:eastAsia="Calibri" w:hAnsi="Times New Roman"/>
          <w:sz w:val="28"/>
          <w:szCs w:val="28"/>
        </w:rPr>
        <w:t xml:space="preserve"> «</w:t>
      </w:r>
      <w:r w:rsidR="00494A41">
        <w:rPr>
          <w:rFonts w:ascii="Times New Roman" w:eastAsia="Calibri" w:hAnsi="Times New Roman"/>
          <w:sz w:val="28"/>
          <w:szCs w:val="28"/>
        </w:rPr>
        <w:t>1420,10</w:t>
      </w:r>
      <w:r w:rsidR="002E1001"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2E1001" w:rsidRDefault="002E1001" w:rsidP="006C4291">
      <w:pPr>
        <w:pStyle w:val="af2"/>
        <w:tabs>
          <w:tab w:val="left" w:pos="1134"/>
        </w:tabs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графе «Всего»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852AA5">
        <w:rPr>
          <w:rFonts w:ascii="Times New Roman" w:eastAsia="Calibri" w:hAnsi="Times New Roman"/>
          <w:sz w:val="28"/>
          <w:szCs w:val="28"/>
        </w:rPr>
        <w:t>14101,63</w:t>
      </w:r>
      <w:r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852AA5">
        <w:rPr>
          <w:rFonts w:ascii="Times New Roman" w:eastAsia="Calibri" w:hAnsi="Times New Roman"/>
          <w:sz w:val="28"/>
          <w:szCs w:val="28"/>
        </w:rPr>
        <w:t>14276,78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.</w:t>
      </w:r>
    </w:p>
    <w:p w:rsidR="00DE5F6A" w:rsidRDefault="00636CBA" w:rsidP="006C4291">
      <w:pPr>
        <w:pStyle w:val="af2"/>
        <w:numPr>
          <w:ilvl w:val="1"/>
          <w:numId w:val="14"/>
        </w:numPr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/>
          <w:sz w:val="28"/>
          <w:szCs w:val="28"/>
        </w:rPr>
        <w:t xml:space="preserve"> «Обоснование ресурсного обеспечения программы»</w:t>
      </w:r>
      <w:r w:rsidR="00DE5F6A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36CBA" w:rsidRDefault="00636CBA" w:rsidP="006C4291">
      <w:pPr>
        <w:pStyle w:val="af2"/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636CBA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составляет </w:t>
      </w:r>
      <w:r w:rsidR="00340BFE">
        <w:rPr>
          <w:rFonts w:ascii="Times New Roman" w:eastAsia="Calibri" w:hAnsi="Times New Roman"/>
          <w:sz w:val="28"/>
          <w:szCs w:val="28"/>
        </w:rPr>
        <w:t>14101,63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340BFE">
        <w:rPr>
          <w:rFonts w:ascii="Times New Roman" w:eastAsia="Calibri" w:hAnsi="Times New Roman"/>
          <w:sz w:val="28"/>
          <w:szCs w:val="28"/>
        </w:rPr>
        <w:t>5550,53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</w:t>
      </w:r>
      <w:r w:rsidRPr="00636CBA">
        <w:rPr>
          <w:rFonts w:ascii="Times New Roman" w:eastAsia="Calibri" w:hAnsi="Times New Roman"/>
          <w:sz w:val="28"/>
          <w:szCs w:val="28"/>
        </w:rPr>
        <w:lastRenderedPageBreak/>
        <w:t>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>составляет</w:t>
      </w:r>
      <w:r w:rsidR="00340BFE">
        <w:rPr>
          <w:rFonts w:ascii="Times New Roman" w:eastAsia="Calibri" w:hAnsi="Times New Roman"/>
          <w:sz w:val="28"/>
          <w:szCs w:val="28"/>
        </w:rPr>
        <w:t xml:space="preserve"> 14276,78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</w:t>
      </w:r>
      <w:r w:rsidR="00F870F5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340BFE">
        <w:rPr>
          <w:rFonts w:ascii="Times New Roman" w:eastAsia="Calibri" w:hAnsi="Times New Roman"/>
          <w:sz w:val="28"/>
          <w:szCs w:val="28"/>
        </w:rPr>
        <w:t>5551,78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DE5F6A">
        <w:rPr>
          <w:rFonts w:ascii="Times New Roman" w:eastAsia="Calibri" w:hAnsi="Times New Roman"/>
          <w:sz w:val="28"/>
          <w:szCs w:val="28"/>
        </w:rPr>
        <w:t>;</w:t>
      </w:r>
    </w:p>
    <w:p w:rsidR="00DE5F6A" w:rsidRDefault="00340BFE" w:rsidP="006C4291">
      <w:pPr>
        <w:pStyle w:val="af2"/>
        <w:tabs>
          <w:tab w:val="left" w:pos="1134"/>
        </w:tabs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«2024</w:t>
      </w:r>
      <w:r w:rsidR="00DE5F6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 xml:space="preserve">цифры </w:t>
      </w:r>
      <w:r w:rsidR="00DE5F6A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1244,95</w:t>
      </w:r>
      <w:r w:rsidR="007500CA">
        <w:rPr>
          <w:rFonts w:ascii="Times New Roman" w:eastAsia="Calibri" w:hAnsi="Times New Roman"/>
          <w:sz w:val="28"/>
          <w:szCs w:val="28"/>
        </w:rPr>
        <w:t>» заменить</w:t>
      </w:r>
      <w:r w:rsidR="00221427">
        <w:rPr>
          <w:rFonts w:ascii="Times New Roman" w:eastAsia="Calibri" w:hAnsi="Times New Roman"/>
          <w:sz w:val="28"/>
          <w:szCs w:val="28"/>
        </w:rPr>
        <w:t xml:space="preserve"> цифрами</w:t>
      </w:r>
      <w:r w:rsidR="007500CA"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1420,10</w:t>
      </w:r>
      <w:r w:rsidR="00DE5F6A">
        <w:rPr>
          <w:rFonts w:ascii="Times New Roman" w:eastAsia="Calibri" w:hAnsi="Times New Roman"/>
          <w:sz w:val="28"/>
          <w:szCs w:val="28"/>
        </w:rPr>
        <w:t>»;</w:t>
      </w:r>
    </w:p>
    <w:p w:rsidR="00DE5F6A" w:rsidRDefault="00340BFE" w:rsidP="006C4291">
      <w:pPr>
        <w:pStyle w:val="af2"/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«Всего» цифры «14101,63» заменить цифрами «14276,78</w:t>
      </w:r>
      <w:r w:rsidR="00A57D8B" w:rsidRPr="00A57D8B">
        <w:rPr>
          <w:rFonts w:ascii="Times New Roman" w:eastAsia="Calibri" w:hAnsi="Times New Roman"/>
          <w:sz w:val="28"/>
          <w:szCs w:val="28"/>
        </w:rPr>
        <w:t>».</w:t>
      </w:r>
    </w:p>
    <w:p w:rsidR="00D04058" w:rsidRPr="00FC2783" w:rsidRDefault="00F9090E" w:rsidP="006C4291">
      <w:pPr>
        <w:pStyle w:val="af2"/>
        <w:numPr>
          <w:ilvl w:val="1"/>
          <w:numId w:val="14"/>
        </w:numPr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D04058">
        <w:rPr>
          <w:rFonts w:ascii="Times New Roman" w:eastAsia="Calibri" w:hAnsi="Times New Roman"/>
          <w:sz w:val="28"/>
          <w:szCs w:val="28"/>
        </w:rPr>
        <w:t>риложени</w:t>
      </w:r>
      <w:r>
        <w:rPr>
          <w:rFonts w:ascii="Times New Roman" w:eastAsia="Calibri" w:hAnsi="Times New Roman"/>
          <w:sz w:val="28"/>
          <w:szCs w:val="28"/>
        </w:rPr>
        <w:t>е</w:t>
      </w:r>
      <w:r w:rsidR="00D04058">
        <w:rPr>
          <w:rFonts w:ascii="Times New Roman" w:eastAsia="Calibri" w:hAnsi="Times New Roman"/>
          <w:sz w:val="28"/>
          <w:szCs w:val="28"/>
        </w:rPr>
        <w:t xml:space="preserve"> к муниципальной программе </w:t>
      </w:r>
      <w:r w:rsidR="00D04058" w:rsidRPr="00D04058">
        <w:rPr>
          <w:rFonts w:ascii="Times New Roman" w:eastAsia="Calibri" w:hAnsi="Times New Roman"/>
          <w:sz w:val="28"/>
          <w:szCs w:val="28"/>
        </w:rPr>
        <w:t>«Развитие физической культуры и спорта в Рыбно-Слободском муниципальном районе Республики Татарстан на 2021-2025 годы»</w:t>
      </w:r>
      <w:r w:rsidR="00D04058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изложить в новой прилагаемой редакции</w:t>
      </w:r>
      <w:r w:rsidR="00FC2783">
        <w:rPr>
          <w:rFonts w:ascii="Times New Roman" w:eastAsia="Calibri" w:hAnsi="Times New Roman"/>
          <w:sz w:val="28"/>
          <w:szCs w:val="28"/>
        </w:rPr>
        <w:t>.</w:t>
      </w:r>
      <w:r w:rsidR="002F55EA" w:rsidRPr="002F55EA">
        <w:rPr>
          <w:rFonts w:ascii="Times New Roman" w:eastAsia="Calibri" w:hAnsi="Times New Roman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340BFE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F43549">
        <w:rPr>
          <w:sz w:val="28"/>
          <w:szCs w:val="28"/>
        </w:rPr>
        <w:t xml:space="preserve">          </w:t>
      </w:r>
      <w:r w:rsidR="004F7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0"/>
          <w:footerReference w:type="first" r:id="rId11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A939CC">
        <w:rPr>
          <w:rFonts w:eastAsia="Calibri"/>
        </w:rPr>
        <w:t>______ №___</w:t>
      </w:r>
      <w:bookmarkStart w:id="0" w:name="_GoBack"/>
      <w:bookmarkEnd w:id="0"/>
      <w:r w:rsidR="00795D9B">
        <w:rPr>
          <w:rFonts w:eastAsia="Calibri"/>
        </w:rPr>
        <w:t>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2694"/>
      </w:tblGrid>
      <w:tr w:rsidR="007745A8" w:rsidRPr="007915D9" w:rsidTr="00795D9B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795D9B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795D9B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795D9B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795D9B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795D9B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795D9B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</w:t>
            </w:r>
            <w:r w:rsidRPr="007915D9">
              <w:rPr>
                <w:rFonts w:eastAsia="Calibri"/>
              </w:rPr>
              <w:lastRenderedPageBreak/>
              <w:t>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</w:t>
            </w:r>
            <w:r w:rsidRPr="007915D9">
              <w:rPr>
                <w:rFonts w:eastAsia="Calibri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</w:t>
            </w:r>
            <w:r w:rsidRPr="007915D9">
              <w:rPr>
                <w:rFonts w:eastAsia="Calibri"/>
              </w:rPr>
              <w:lastRenderedPageBreak/>
              <w:t xml:space="preserve">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видов спорта путём освещения мероприятий в </w:t>
            </w:r>
            <w:r w:rsidRPr="007915D9">
              <w:rPr>
                <w:rFonts w:eastAsia="Calibri"/>
              </w:rPr>
              <w:lastRenderedPageBreak/>
              <w:t>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2016-2020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образования Рыбно-Слободского муниципального района </w:t>
            </w:r>
            <w:r w:rsidRPr="005D66B9">
              <w:lastRenderedPageBreak/>
              <w:t>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Формирование доступных условий для занятий физической </w:t>
            </w:r>
            <w:r w:rsidRPr="007915D9">
              <w:lastRenderedPageBreak/>
              <w:t>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Разработка и реализация комплексных мер, направленных на улучшение </w:t>
            </w:r>
            <w:r w:rsidRPr="007915D9">
              <w:lastRenderedPageBreak/>
              <w:t>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ИК поселений района (по согласованию), руководители организаций, </w:t>
            </w:r>
            <w:r w:rsidRPr="007915D9">
              <w:lastRenderedPageBreak/>
              <w:t>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</w:t>
            </w:r>
            <w:r w:rsidRPr="007915D9">
              <w:lastRenderedPageBreak/>
              <w:t>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 районных, зональных республиканских этапов Всероссийских соревнований «Кожаный мяч», </w:t>
            </w:r>
            <w:r w:rsidRPr="007915D9">
              <w:lastRenderedPageBreak/>
              <w:t>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чемпионатов, первенств, открытых турниров, комплексных мероприятий среди команд сельских районов в рамках </w:t>
            </w:r>
            <w:r w:rsidRPr="007915D9">
              <w:lastRenderedPageBreak/>
              <w:t>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lastRenderedPageBreak/>
              <w:t xml:space="preserve">4. 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</w:t>
            </w:r>
            <w:r w:rsidRPr="005C1861">
              <w:lastRenderedPageBreak/>
              <w:t xml:space="preserve">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 в связи с закреплением на праве  оперативного управления крытого катка с искусствен-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2101FA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</w:t>
            </w:r>
            <w:r w:rsidRPr="005C1861">
              <w:lastRenderedPageBreak/>
              <w:t xml:space="preserve">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894798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795D9B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r w:rsidRPr="005C1861">
              <w:t>Реализация мероприятий, связанных с обеспечением условий для развития на территории Рыбно-</w:t>
            </w:r>
            <w:r w:rsidRPr="005C1861">
              <w:lastRenderedPageBreak/>
              <w:t xml:space="preserve">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</w:t>
            </w:r>
            <w:r w:rsidR="003039F2">
              <w:lastRenderedPageBreak/>
              <w:t xml:space="preserve">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5C1861" w:rsidRDefault="003039F2" w:rsidP="00894798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 xml:space="preserve">Местный </w:t>
            </w:r>
            <w:r w:rsidRPr="005C1861">
              <w:lastRenderedPageBreak/>
              <w:t>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lastRenderedPageBreak/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lastRenderedPageBreak/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</w:t>
            </w:r>
            <w:r w:rsidRPr="005C1861">
              <w:lastRenderedPageBreak/>
              <w:t>МБУ «Спортивная школа» Рыбно-Слободского муниципального района</w:t>
            </w:r>
          </w:p>
        </w:tc>
      </w:tr>
      <w:tr w:rsidR="00625E2A" w:rsidRPr="00C35969" w:rsidTr="00795D9B">
        <w:trPr>
          <w:trHeight w:val="555"/>
        </w:trPr>
        <w:tc>
          <w:tcPr>
            <w:tcW w:w="1985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</w:t>
            </w:r>
            <w:r w:rsidR="002A194A">
              <w:lastRenderedPageBreak/>
              <w:t>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236446" w:rsidP="00AA3C65">
            <w:pPr>
              <w:pStyle w:val="af"/>
            </w:pPr>
            <w:r>
              <w:t>2024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2F7471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236446" w:rsidRDefault="00236446" w:rsidP="00AA3C65">
            <w:pPr>
              <w:pStyle w:val="af"/>
              <w:jc w:val="center"/>
            </w:pPr>
            <w:r>
              <w:t>125,85</w:t>
            </w:r>
          </w:p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Default="00236446" w:rsidP="00236446"/>
          <w:p w:rsidR="00625E2A" w:rsidRPr="00236446" w:rsidRDefault="00236446" w:rsidP="00236446">
            <w:pPr>
              <w:jc w:val="center"/>
            </w:pPr>
            <w:r>
              <w:t>1,258</w:t>
            </w:r>
          </w:p>
        </w:tc>
        <w:tc>
          <w:tcPr>
            <w:tcW w:w="851" w:type="dxa"/>
          </w:tcPr>
          <w:p w:rsidR="002F7471" w:rsidRDefault="00625E2A" w:rsidP="00AA3C65">
            <w:pPr>
              <w:pStyle w:val="af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 w:rsidR="00CC2D45">
              <w:t>,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3E1993" w:rsidRPr="00C35969" w:rsidTr="00795D9B">
        <w:trPr>
          <w:trHeight w:val="555"/>
        </w:trPr>
        <w:tc>
          <w:tcPr>
            <w:tcW w:w="1985" w:type="dxa"/>
          </w:tcPr>
          <w:p w:rsidR="003E1993" w:rsidRDefault="003E1993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</w:t>
            </w:r>
            <w:r>
              <w:lastRenderedPageBreak/>
              <w:t>Федерации по хоккею (подгруппа А)</w:t>
            </w:r>
          </w:p>
        </w:tc>
        <w:tc>
          <w:tcPr>
            <w:tcW w:w="1701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2126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1233" w:type="dxa"/>
          </w:tcPr>
          <w:p w:rsidR="003E1993" w:rsidRDefault="003E1993" w:rsidP="00AA3C65">
            <w:pPr>
              <w:pStyle w:val="af"/>
            </w:pPr>
            <w:r>
              <w:t>2024 г.</w:t>
            </w:r>
          </w:p>
        </w:tc>
        <w:tc>
          <w:tcPr>
            <w:tcW w:w="1419" w:type="dxa"/>
          </w:tcPr>
          <w:p w:rsidR="00236446" w:rsidRPr="00236446" w:rsidRDefault="00236446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3E1993" w:rsidRPr="005C1861" w:rsidRDefault="00236446" w:rsidP="00236446">
            <w:pPr>
              <w:pStyle w:val="af"/>
            </w:pPr>
            <w:r w:rsidRPr="00236446">
              <w:t>тыс. рублей</w:t>
            </w:r>
          </w:p>
        </w:tc>
        <w:tc>
          <w:tcPr>
            <w:tcW w:w="1032" w:type="dxa"/>
          </w:tcPr>
          <w:p w:rsidR="003E1993" w:rsidRDefault="00236446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E1993" w:rsidRDefault="00236446" w:rsidP="00AA3C65">
            <w:pPr>
              <w:pStyle w:val="af"/>
              <w:jc w:val="center"/>
            </w:pPr>
            <w:r>
              <w:t>49,3</w:t>
            </w:r>
          </w:p>
        </w:tc>
        <w:tc>
          <w:tcPr>
            <w:tcW w:w="851" w:type="dxa"/>
          </w:tcPr>
          <w:p w:rsidR="003E1993" w:rsidRDefault="003E1993" w:rsidP="00AA3C65">
            <w:pPr>
              <w:pStyle w:val="af"/>
              <w:jc w:val="center"/>
            </w:pPr>
          </w:p>
        </w:tc>
        <w:tc>
          <w:tcPr>
            <w:tcW w:w="2694" w:type="dxa"/>
          </w:tcPr>
          <w:p w:rsidR="00236446" w:rsidRDefault="00236446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3E1993" w:rsidRPr="005C1861" w:rsidRDefault="00236446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795D9B">
        <w:trPr>
          <w:trHeight w:val="555"/>
        </w:trPr>
        <w:tc>
          <w:tcPr>
            <w:tcW w:w="8464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6D4E5E" w:rsidP="00894798">
            <w:pPr>
              <w:pStyle w:val="af"/>
            </w:pPr>
            <w:r>
              <w:t>1420,1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2694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3B" w:rsidRDefault="00FD2D3B">
      <w:r>
        <w:separator/>
      </w:r>
    </w:p>
  </w:endnote>
  <w:endnote w:type="continuationSeparator" w:id="0">
    <w:p w:rsidR="00FD2D3B" w:rsidRDefault="00FD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93" w:rsidRDefault="003E1993">
    <w:pPr>
      <w:pStyle w:val="ab"/>
      <w:jc w:val="right"/>
    </w:pPr>
  </w:p>
  <w:p w:rsidR="003E1993" w:rsidRDefault="003E199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93" w:rsidRDefault="003E1993" w:rsidP="00C7731D">
    <w:pPr>
      <w:pStyle w:val="ab"/>
      <w:jc w:val="right"/>
    </w:pPr>
  </w:p>
  <w:p w:rsidR="003E1993" w:rsidRDefault="003E199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3B" w:rsidRDefault="00FD2D3B">
      <w:r>
        <w:separator/>
      </w:r>
    </w:p>
  </w:footnote>
  <w:footnote w:type="continuationSeparator" w:id="0">
    <w:p w:rsidR="00FD2D3B" w:rsidRDefault="00FD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39CC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2D3B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5BF71"/>
  <w15:docId w15:val="{CB398D9A-FAF6-4824-80DD-5D611CB9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96A7-D4C1-4D2E-AFE6-5BE06E67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22303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Пользователь Windows</cp:lastModifiedBy>
  <cp:revision>3</cp:revision>
  <cp:lastPrinted>2024-02-29T04:55:00Z</cp:lastPrinted>
  <dcterms:created xsi:type="dcterms:W3CDTF">2024-02-29T04:55:00Z</dcterms:created>
  <dcterms:modified xsi:type="dcterms:W3CDTF">2024-04-19T13:01:00Z</dcterms:modified>
</cp:coreProperties>
</file>